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69E54F" w14:textId="32671AB1" w:rsidR="00B70B8D" w:rsidRPr="005977F2" w:rsidRDefault="00397AB8" w:rsidP="005977F2">
      <w:pPr>
        <w:spacing w:after="0" w:line="240" w:lineRule="auto"/>
        <w:ind w:left="0" w:hanging="2"/>
        <w:jc w:val="center"/>
        <w:rPr>
          <w:rFonts w:ascii="Times New Roman" w:hAnsi="Times New Roman" w:cs="Times New Roman"/>
          <w:b/>
          <w:bCs/>
          <w:sz w:val="24"/>
          <w:szCs w:val="24"/>
        </w:rPr>
      </w:pPr>
      <w:bookmarkStart w:id="0" w:name="_Hlk165353996"/>
      <w:bookmarkStart w:id="1" w:name="_Hlk142167310"/>
      <w:r w:rsidRPr="00541C34">
        <w:rPr>
          <w:rFonts w:ascii="Times New Roman" w:hAnsi="Times New Roman" w:cs="Times New Roman"/>
          <w:b/>
          <w:bCs/>
          <w:sz w:val="24"/>
          <w:szCs w:val="24"/>
        </w:rPr>
        <w:t>Assessment of Digital Technology Affordances and Epistemological Access in Higher Educational Instit</w:t>
      </w:r>
      <w:r>
        <w:rPr>
          <w:rFonts w:ascii="Times New Roman" w:hAnsi="Times New Roman" w:cs="Times New Roman"/>
          <w:b/>
          <w:bCs/>
          <w:sz w:val="24"/>
          <w:szCs w:val="24"/>
        </w:rPr>
        <w:t>utions of Learning in Nigeria: a</w:t>
      </w:r>
      <w:r w:rsidRPr="00541C34">
        <w:rPr>
          <w:rFonts w:ascii="Times New Roman" w:hAnsi="Times New Roman" w:cs="Times New Roman"/>
          <w:b/>
          <w:bCs/>
          <w:sz w:val="24"/>
          <w:szCs w:val="24"/>
        </w:rPr>
        <w:t xml:space="preserve"> Systematic Literature Review</w:t>
      </w:r>
    </w:p>
    <w:p w14:paraId="148EEA02" w14:textId="5E737D6E" w:rsidR="00B70B8D" w:rsidRPr="00397AB8" w:rsidRDefault="00397AB8" w:rsidP="005977F2">
      <w:pPr>
        <w:spacing w:before="240" w:after="0" w:line="240" w:lineRule="auto"/>
        <w:ind w:left="0" w:hanging="2"/>
        <w:jc w:val="center"/>
        <w:rPr>
          <w:rFonts w:ascii="Times New Roman" w:hAnsi="Times New Roman" w:cs="Times New Roman"/>
          <w:b/>
          <w:bCs/>
          <w:sz w:val="24"/>
          <w:szCs w:val="24"/>
          <w:vertAlign w:val="superscript"/>
        </w:rPr>
      </w:pPr>
      <w:r w:rsidRPr="00397AB8">
        <w:rPr>
          <w:rFonts w:ascii="Times New Roman" w:hAnsi="Times New Roman" w:cs="Times New Roman"/>
          <w:b/>
          <w:bCs/>
          <w:sz w:val="24"/>
          <w:szCs w:val="24"/>
        </w:rPr>
        <w:t>Badamasi, Bukhari</w:t>
      </w:r>
      <w:r w:rsidRPr="00397AB8">
        <w:rPr>
          <w:rFonts w:ascii="Times New Roman" w:hAnsi="Times New Roman" w:cs="Times New Roman"/>
          <w:b/>
          <w:bCs/>
          <w:sz w:val="24"/>
          <w:szCs w:val="24"/>
          <w:vertAlign w:val="superscript"/>
        </w:rPr>
        <w:t>1</w:t>
      </w:r>
    </w:p>
    <w:p w14:paraId="1B9141DF" w14:textId="269A08C0" w:rsidR="00B70B8D" w:rsidRPr="005B5164" w:rsidRDefault="00000000" w:rsidP="005977F2">
      <w:pPr>
        <w:spacing w:after="0" w:line="240" w:lineRule="auto"/>
        <w:ind w:left="0" w:hanging="2"/>
        <w:jc w:val="center"/>
        <w:rPr>
          <w:rFonts w:ascii="Times New Roman" w:hAnsi="Times New Roman" w:cs="Times New Roman"/>
          <w:sz w:val="20"/>
          <w:szCs w:val="20"/>
        </w:rPr>
      </w:pPr>
      <w:hyperlink r:id="rId8" w:history="1">
        <w:r w:rsidR="00397AB8" w:rsidRPr="005B5164">
          <w:rPr>
            <w:rStyle w:val="Hyperlink"/>
            <w:rFonts w:ascii="Times New Roman" w:hAnsi="Times New Roman" w:cs="Times New Roman"/>
            <w:sz w:val="20"/>
            <w:szCs w:val="20"/>
          </w:rPr>
          <w:t>buhariruky@gmail.com</w:t>
        </w:r>
      </w:hyperlink>
      <w:r w:rsidR="005B5164">
        <w:rPr>
          <w:rFonts w:ascii="Times New Roman" w:hAnsi="Times New Roman" w:cs="Times New Roman"/>
          <w:sz w:val="20"/>
          <w:szCs w:val="20"/>
        </w:rPr>
        <w:t xml:space="preserve">, </w:t>
      </w:r>
      <w:hyperlink r:id="rId9" w:history="1">
        <w:r w:rsidR="00397AB8" w:rsidRPr="005B5164">
          <w:rPr>
            <w:rStyle w:val="Hyperlink"/>
            <w:rFonts w:ascii="Times New Roman" w:hAnsi="Times New Roman" w:cs="Times New Roman"/>
            <w:sz w:val="20"/>
            <w:szCs w:val="20"/>
          </w:rPr>
          <w:t>bbadamasi@abu.edu.ng</w:t>
        </w:r>
      </w:hyperlink>
    </w:p>
    <w:p w14:paraId="2E98DA36" w14:textId="77777777" w:rsidR="00B70B8D" w:rsidRPr="005B5164" w:rsidRDefault="00397AB8" w:rsidP="005977F2">
      <w:pPr>
        <w:spacing w:after="0" w:line="240" w:lineRule="auto"/>
        <w:ind w:left="0" w:hanging="2"/>
        <w:jc w:val="center"/>
        <w:rPr>
          <w:rFonts w:ascii="Times New Roman" w:hAnsi="Times New Roman" w:cs="Times New Roman"/>
          <w:sz w:val="20"/>
          <w:szCs w:val="20"/>
        </w:rPr>
      </w:pPr>
      <w:r w:rsidRPr="005B5164">
        <w:rPr>
          <w:rFonts w:ascii="Times New Roman" w:hAnsi="Times New Roman" w:cs="Times New Roman"/>
          <w:sz w:val="20"/>
          <w:szCs w:val="20"/>
        </w:rPr>
        <w:t>+2348036992294</w:t>
      </w:r>
    </w:p>
    <w:p w14:paraId="38F8070F" w14:textId="3A4232A1" w:rsidR="00B70B8D" w:rsidRPr="00397AB8" w:rsidRDefault="00397AB8" w:rsidP="005977F2">
      <w:pPr>
        <w:spacing w:before="240" w:after="0" w:line="240" w:lineRule="auto"/>
        <w:ind w:left="0" w:hanging="2"/>
        <w:jc w:val="center"/>
        <w:rPr>
          <w:rFonts w:ascii="Times New Roman" w:hAnsi="Times New Roman" w:cs="Times New Roman"/>
          <w:b/>
          <w:bCs/>
          <w:sz w:val="24"/>
          <w:szCs w:val="24"/>
          <w:vertAlign w:val="superscript"/>
        </w:rPr>
      </w:pPr>
      <w:r>
        <w:rPr>
          <w:rFonts w:ascii="Times New Roman" w:hAnsi="Times New Roman" w:cs="Times New Roman"/>
          <w:b/>
          <w:bCs/>
          <w:sz w:val="24"/>
          <w:szCs w:val="24"/>
        </w:rPr>
        <w:t>M</w:t>
      </w:r>
      <w:r w:rsidRPr="00397AB8">
        <w:rPr>
          <w:rFonts w:ascii="Times New Roman" w:hAnsi="Times New Roman" w:cs="Times New Roman"/>
          <w:b/>
          <w:bCs/>
          <w:sz w:val="24"/>
          <w:szCs w:val="24"/>
        </w:rPr>
        <w:t>usa, M. Hayatu</w:t>
      </w:r>
      <w:r>
        <w:rPr>
          <w:rFonts w:ascii="Times New Roman" w:hAnsi="Times New Roman" w:cs="Times New Roman"/>
          <w:b/>
          <w:bCs/>
          <w:sz w:val="24"/>
          <w:szCs w:val="24"/>
          <w:vertAlign w:val="superscript"/>
        </w:rPr>
        <w:t>1</w:t>
      </w:r>
    </w:p>
    <w:p w14:paraId="1E33A231" w14:textId="77777777" w:rsidR="00B70B8D" w:rsidRPr="005B5164" w:rsidRDefault="00000000" w:rsidP="005977F2">
      <w:pPr>
        <w:spacing w:after="0" w:line="240" w:lineRule="auto"/>
        <w:ind w:left="0" w:hanging="2"/>
        <w:jc w:val="center"/>
        <w:rPr>
          <w:rFonts w:ascii="Times New Roman" w:hAnsi="Times New Roman" w:cs="Times New Roman"/>
          <w:sz w:val="20"/>
          <w:szCs w:val="20"/>
        </w:rPr>
      </w:pPr>
      <w:hyperlink r:id="rId10" w:history="1">
        <w:r w:rsidR="00397AB8" w:rsidRPr="005B5164">
          <w:rPr>
            <w:rStyle w:val="Hyperlink"/>
            <w:rFonts w:ascii="Times New Roman" w:hAnsi="Times New Roman" w:cs="Times New Roman"/>
            <w:sz w:val="20"/>
            <w:szCs w:val="20"/>
          </w:rPr>
          <w:t>ibnhayat@gmail.com</w:t>
        </w:r>
      </w:hyperlink>
    </w:p>
    <w:p w14:paraId="3DE2002D" w14:textId="77777777" w:rsidR="00B70B8D" w:rsidRPr="005B5164" w:rsidRDefault="00397AB8" w:rsidP="005977F2">
      <w:pPr>
        <w:spacing w:after="0" w:line="240" w:lineRule="auto"/>
        <w:ind w:left="0" w:hanging="2"/>
        <w:jc w:val="center"/>
        <w:rPr>
          <w:rFonts w:ascii="Times New Roman" w:hAnsi="Times New Roman" w:cs="Times New Roman"/>
          <w:sz w:val="20"/>
          <w:szCs w:val="20"/>
        </w:rPr>
      </w:pPr>
      <w:r w:rsidRPr="005B5164">
        <w:rPr>
          <w:rFonts w:ascii="Times New Roman" w:hAnsi="Times New Roman" w:cs="Times New Roman"/>
          <w:sz w:val="20"/>
          <w:szCs w:val="20"/>
        </w:rPr>
        <w:t>+2348082625749</w:t>
      </w:r>
    </w:p>
    <w:p w14:paraId="222D980A" w14:textId="189D236E" w:rsidR="00B70B8D" w:rsidRPr="00397AB8" w:rsidRDefault="00397AB8" w:rsidP="005977F2">
      <w:pPr>
        <w:spacing w:before="240" w:after="0" w:line="240" w:lineRule="auto"/>
        <w:ind w:left="0" w:hanging="2"/>
        <w:jc w:val="center"/>
        <w:rPr>
          <w:rFonts w:ascii="Times New Roman" w:hAnsi="Times New Roman" w:cs="Times New Roman"/>
          <w:b/>
          <w:bCs/>
          <w:sz w:val="24"/>
          <w:szCs w:val="24"/>
          <w:vertAlign w:val="superscript"/>
        </w:rPr>
      </w:pPr>
      <w:r w:rsidRPr="00397AB8">
        <w:rPr>
          <w:rFonts w:ascii="Times New Roman" w:hAnsi="Times New Roman" w:cs="Times New Roman"/>
          <w:b/>
          <w:bCs/>
          <w:sz w:val="24"/>
          <w:szCs w:val="24"/>
        </w:rPr>
        <w:t>Abubakar, Tijjani</w:t>
      </w:r>
      <w:r>
        <w:rPr>
          <w:rFonts w:ascii="Times New Roman" w:hAnsi="Times New Roman" w:cs="Times New Roman"/>
          <w:b/>
          <w:bCs/>
          <w:sz w:val="24"/>
          <w:szCs w:val="24"/>
          <w:vertAlign w:val="superscript"/>
        </w:rPr>
        <w:t>1</w:t>
      </w:r>
    </w:p>
    <w:p w14:paraId="4A2E7B5E" w14:textId="77777777" w:rsidR="00B70B8D" w:rsidRPr="005B5164" w:rsidRDefault="00000000" w:rsidP="005977F2">
      <w:pPr>
        <w:spacing w:after="0" w:line="240" w:lineRule="auto"/>
        <w:ind w:left="0" w:hanging="2"/>
        <w:jc w:val="center"/>
        <w:rPr>
          <w:rFonts w:ascii="Times New Roman" w:hAnsi="Times New Roman" w:cs="Times New Roman"/>
          <w:sz w:val="20"/>
          <w:szCs w:val="20"/>
        </w:rPr>
      </w:pPr>
      <w:hyperlink r:id="rId11" w:history="1">
        <w:r w:rsidR="00397AB8" w:rsidRPr="005B5164">
          <w:rPr>
            <w:rStyle w:val="Hyperlink"/>
            <w:rFonts w:ascii="Times New Roman" w:hAnsi="Times New Roman" w:cs="Times New Roman"/>
            <w:sz w:val="20"/>
            <w:szCs w:val="20"/>
          </w:rPr>
          <w:t>tjlibs2002@yahoo.com</w:t>
        </w:r>
      </w:hyperlink>
    </w:p>
    <w:p w14:paraId="743FA6C7" w14:textId="77777777" w:rsidR="00B70B8D" w:rsidRPr="005B5164" w:rsidRDefault="00397AB8" w:rsidP="005977F2">
      <w:pPr>
        <w:spacing w:after="0" w:line="240" w:lineRule="auto"/>
        <w:ind w:left="0" w:hanging="2"/>
        <w:jc w:val="center"/>
        <w:rPr>
          <w:rFonts w:ascii="Times New Roman" w:hAnsi="Times New Roman" w:cs="Times New Roman"/>
          <w:sz w:val="20"/>
          <w:szCs w:val="20"/>
        </w:rPr>
      </w:pPr>
      <w:r w:rsidRPr="005B5164">
        <w:rPr>
          <w:rFonts w:ascii="Times New Roman" w:hAnsi="Times New Roman" w:cs="Times New Roman"/>
          <w:sz w:val="20"/>
          <w:szCs w:val="20"/>
        </w:rPr>
        <w:t>+2348037032498</w:t>
      </w:r>
    </w:p>
    <w:p w14:paraId="48EE1422" w14:textId="5F64FDBD" w:rsidR="00B70B8D" w:rsidRPr="00397AB8" w:rsidRDefault="00397AB8" w:rsidP="005977F2">
      <w:pPr>
        <w:spacing w:before="240" w:after="0" w:line="240" w:lineRule="auto"/>
        <w:ind w:left="0" w:hanging="2"/>
        <w:jc w:val="center"/>
        <w:rPr>
          <w:rFonts w:ascii="Times New Roman" w:hAnsi="Times New Roman" w:cs="Times New Roman"/>
          <w:b/>
          <w:bCs/>
          <w:sz w:val="24"/>
          <w:szCs w:val="24"/>
          <w:vertAlign w:val="superscript"/>
        </w:rPr>
      </w:pPr>
      <w:r w:rsidRPr="00397AB8">
        <w:rPr>
          <w:rFonts w:ascii="Times New Roman" w:hAnsi="Times New Roman" w:cs="Times New Roman"/>
          <w:b/>
          <w:bCs/>
          <w:sz w:val="24"/>
          <w:szCs w:val="24"/>
        </w:rPr>
        <w:t>Mohammed, Habibu</w:t>
      </w:r>
      <w:r>
        <w:rPr>
          <w:rFonts w:ascii="Times New Roman" w:hAnsi="Times New Roman" w:cs="Times New Roman"/>
          <w:b/>
          <w:bCs/>
          <w:sz w:val="24"/>
          <w:szCs w:val="24"/>
          <w:vertAlign w:val="superscript"/>
        </w:rPr>
        <w:t>1</w:t>
      </w:r>
    </w:p>
    <w:p w14:paraId="70872F4B" w14:textId="77777777" w:rsidR="00B70B8D" w:rsidRPr="005B5164" w:rsidRDefault="00000000" w:rsidP="005977F2">
      <w:pPr>
        <w:spacing w:after="0" w:line="240" w:lineRule="auto"/>
        <w:ind w:left="0" w:hanging="2"/>
        <w:jc w:val="center"/>
        <w:rPr>
          <w:rFonts w:ascii="Times New Roman" w:hAnsi="Times New Roman" w:cs="Times New Roman"/>
          <w:sz w:val="20"/>
          <w:szCs w:val="20"/>
        </w:rPr>
      </w:pPr>
      <w:hyperlink r:id="rId12" w:history="1">
        <w:r w:rsidR="00397AB8" w:rsidRPr="005B5164">
          <w:rPr>
            <w:rStyle w:val="Hyperlink"/>
            <w:rFonts w:ascii="Times New Roman" w:hAnsi="Times New Roman" w:cs="Times New Roman"/>
            <w:sz w:val="20"/>
            <w:szCs w:val="20"/>
          </w:rPr>
          <w:t>mhabibu@abu.edu.ng</w:t>
        </w:r>
      </w:hyperlink>
    </w:p>
    <w:p w14:paraId="4541388E" w14:textId="3877BD16" w:rsidR="00B70B8D" w:rsidRPr="005B5164" w:rsidRDefault="00397AB8" w:rsidP="005977F2">
      <w:pPr>
        <w:spacing w:after="0" w:line="240" w:lineRule="auto"/>
        <w:ind w:left="0" w:hanging="2"/>
        <w:jc w:val="center"/>
        <w:rPr>
          <w:rFonts w:ascii="Times New Roman" w:hAnsi="Times New Roman" w:cs="Times New Roman"/>
          <w:sz w:val="20"/>
          <w:szCs w:val="20"/>
        </w:rPr>
      </w:pPr>
      <w:r w:rsidRPr="005B5164">
        <w:rPr>
          <w:rFonts w:ascii="Times New Roman" w:hAnsi="Times New Roman" w:cs="Times New Roman"/>
          <w:sz w:val="20"/>
          <w:szCs w:val="20"/>
        </w:rPr>
        <w:t>+2348065163039</w:t>
      </w:r>
    </w:p>
    <w:p w14:paraId="0A53A36F" w14:textId="649DC517" w:rsidR="00B70B8D" w:rsidRPr="005B5164" w:rsidRDefault="00397AB8" w:rsidP="005977F2">
      <w:pPr>
        <w:spacing w:before="240" w:after="0" w:line="240" w:lineRule="auto"/>
        <w:ind w:left="0" w:hanging="2"/>
        <w:jc w:val="center"/>
        <w:rPr>
          <w:rFonts w:ascii="Times New Roman" w:hAnsi="Times New Roman" w:cs="Times New Roman"/>
          <w:sz w:val="20"/>
          <w:szCs w:val="20"/>
        </w:rPr>
      </w:pPr>
      <w:r>
        <w:rPr>
          <w:rFonts w:ascii="Times New Roman" w:hAnsi="Times New Roman" w:cs="Times New Roman"/>
          <w:sz w:val="20"/>
          <w:szCs w:val="20"/>
          <w:vertAlign w:val="superscript"/>
        </w:rPr>
        <w:t>1</w:t>
      </w:r>
      <w:r w:rsidRPr="005B5164">
        <w:rPr>
          <w:rFonts w:ascii="Times New Roman" w:hAnsi="Times New Roman" w:cs="Times New Roman"/>
          <w:sz w:val="20"/>
          <w:szCs w:val="20"/>
        </w:rPr>
        <w:t>Department of Library and Information Science,</w:t>
      </w:r>
      <w:r w:rsidR="00541C34">
        <w:rPr>
          <w:rFonts w:ascii="Times New Roman" w:hAnsi="Times New Roman" w:cs="Times New Roman"/>
          <w:sz w:val="20"/>
          <w:szCs w:val="20"/>
        </w:rPr>
        <w:t xml:space="preserve"> </w:t>
      </w:r>
      <w:r w:rsidRPr="005B5164">
        <w:rPr>
          <w:rFonts w:ascii="Times New Roman" w:hAnsi="Times New Roman" w:cs="Times New Roman"/>
          <w:sz w:val="20"/>
          <w:szCs w:val="20"/>
        </w:rPr>
        <w:t>Faculty of Education</w:t>
      </w:r>
      <w:r w:rsidR="00541C34">
        <w:rPr>
          <w:rFonts w:ascii="Times New Roman" w:hAnsi="Times New Roman" w:cs="Times New Roman"/>
          <w:sz w:val="20"/>
          <w:szCs w:val="20"/>
        </w:rPr>
        <w:t xml:space="preserve">, </w:t>
      </w:r>
      <w:r w:rsidRPr="005B5164">
        <w:rPr>
          <w:rFonts w:ascii="Times New Roman" w:hAnsi="Times New Roman" w:cs="Times New Roman"/>
          <w:sz w:val="20"/>
          <w:szCs w:val="20"/>
        </w:rPr>
        <w:t>Ahmadu Bello University, Zaria</w:t>
      </w:r>
      <w:r w:rsidR="00541C34">
        <w:rPr>
          <w:rFonts w:ascii="Times New Roman" w:hAnsi="Times New Roman" w:cs="Times New Roman"/>
          <w:sz w:val="20"/>
          <w:szCs w:val="20"/>
        </w:rPr>
        <w:t>, Kaduna State.</w:t>
      </w:r>
      <w:bookmarkEnd w:id="0"/>
    </w:p>
    <w:p w14:paraId="45B18934" w14:textId="22D47FA0" w:rsidR="00B70B8D" w:rsidRPr="005B5164" w:rsidRDefault="00397AB8">
      <w:pPr>
        <w:tabs>
          <w:tab w:val="left" w:pos="5955"/>
        </w:tabs>
        <w:spacing w:after="0" w:line="240" w:lineRule="auto"/>
        <w:ind w:left="0" w:hanging="2"/>
        <w:jc w:val="both"/>
        <w:rPr>
          <w:rFonts w:ascii="Times New Roman" w:hAnsi="Times New Roman" w:cs="Times New Roman"/>
          <w:b/>
          <w:bCs/>
          <w:sz w:val="20"/>
          <w:szCs w:val="20"/>
        </w:rPr>
      </w:pPr>
      <w:r w:rsidRPr="00397AB8">
        <w:rPr>
          <w:rFonts w:ascii="Times New Roman" w:hAnsi="Times New Roman" w:cs="Times New Roman"/>
          <w:b/>
          <w:bCs/>
          <w:sz w:val="24"/>
          <w:szCs w:val="24"/>
        </w:rPr>
        <w:t>Abstract</w:t>
      </w:r>
    </w:p>
    <w:p w14:paraId="46E96C5A" w14:textId="51ED10A6" w:rsidR="00B70B8D" w:rsidRPr="005B5164" w:rsidRDefault="00397AB8" w:rsidP="002808E4">
      <w:pPr>
        <w:spacing w:after="0" w:line="240" w:lineRule="auto"/>
        <w:ind w:leftChars="0" w:left="0" w:firstLineChars="0" w:firstLine="360"/>
        <w:jc w:val="both"/>
        <w:rPr>
          <w:rFonts w:ascii="Times New Roman" w:hAnsi="Times New Roman" w:cs="Times New Roman"/>
          <w:sz w:val="20"/>
          <w:szCs w:val="20"/>
        </w:rPr>
      </w:pPr>
      <w:r w:rsidRPr="005B5164">
        <w:rPr>
          <w:rFonts w:ascii="Times New Roman" w:hAnsi="Times New Roman" w:cs="Times New Roman"/>
          <w:sz w:val="20"/>
          <w:szCs w:val="20"/>
        </w:rPr>
        <w:t>This paper was aimed at assessing the digital technology affordances and epistemological access in higher educational institutions in Nigeria as a system literature review. The authors used a concept</w:t>
      </w:r>
      <w:r w:rsidRPr="005B5164">
        <w:rPr>
          <w:rFonts w:ascii="Times New Roman" w:hAnsi="Times New Roman" w:cs="Times New Roman"/>
          <w:sz w:val="20"/>
          <w:szCs w:val="20"/>
        </w:rPr>
        <w:noBreakHyphen/>
        <w:t xml:space="preserve">centric systematic literature review approach to conduct their study. Following the development of a research protocol, the authors searched the information systems database and other relevant and pertinent databases to select relevant articles for review. A thematic coding approach consists of six steps: (1) familiarizing with the data; (2) generating initial codes; (3) creation of themes; (4) reviewing themes; (5) defining and labeling themes; and (6) producing the report. The systematic literature review revealed several themes (for example, educational technological affordances, learning context, and dialogic activities) that are critical to digital technological affordances and epistemological access. Thus, from this review, the authors developed a framework that harmonizes various concepts that characterize epistemological access in higher educational institutions. The synthesized theoretical framework offers an integrated perspective on how structural and cultural systems of students and digital technology can facilitate the assessment of digital technologies and epistemological access in higher educational institutions in Nigeria. Moreover, it addresses gaps such as the influence of e-learning management systems on faculties during dialogic interaction, where a framework was developed. The framework not only provides new research avenues in the information systems domain but also serves as inspiration for future empirical testing in higher educational institutions globally. </w:t>
      </w:r>
      <w:r w:rsidRPr="005B5164">
        <w:rPr>
          <w:rFonts w:ascii="Times New Roman" w:hAnsi="Times New Roman" w:cs="Times New Roman"/>
          <w:bCs/>
          <w:sz w:val="20"/>
          <w:szCs w:val="20"/>
        </w:rPr>
        <w:t>It is therefore recommended that, universit</w:t>
      </w:r>
      <w:r w:rsidR="00415AB5">
        <w:rPr>
          <w:rFonts w:ascii="Times New Roman" w:hAnsi="Times New Roman" w:cs="Times New Roman"/>
          <w:bCs/>
          <w:sz w:val="20"/>
          <w:szCs w:val="20"/>
        </w:rPr>
        <w:t>ies in Nigeria should integrate</w:t>
      </w:r>
      <w:r w:rsidRPr="005B5164">
        <w:rPr>
          <w:rFonts w:ascii="Times New Roman" w:hAnsi="Times New Roman" w:cs="Times New Roman"/>
          <w:bCs/>
          <w:sz w:val="20"/>
          <w:szCs w:val="20"/>
        </w:rPr>
        <w:t xml:space="preserve"> digital learning platform, enhance usability through user-centric design, maximize affordances of digital technologies, implement transformative educational strategies, and address structural barriers.</w:t>
      </w:r>
    </w:p>
    <w:p w14:paraId="03EE9815" w14:textId="77777777" w:rsidR="00B70B8D" w:rsidRPr="005B5164" w:rsidRDefault="00397AB8" w:rsidP="005977F2">
      <w:pPr>
        <w:spacing w:after="0" w:line="240" w:lineRule="auto"/>
        <w:ind w:leftChars="0" w:left="0" w:firstLineChars="0" w:firstLine="0"/>
        <w:jc w:val="both"/>
        <w:rPr>
          <w:rFonts w:ascii="Times New Roman" w:hAnsi="Times New Roman" w:cs="Times New Roman"/>
          <w:b/>
          <w:bCs/>
          <w:sz w:val="20"/>
          <w:szCs w:val="20"/>
        </w:rPr>
      </w:pPr>
      <w:r w:rsidRPr="005B5164">
        <w:rPr>
          <w:rFonts w:ascii="Times New Roman" w:hAnsi="Times New Roman" w:cs="Times New Roman"/>
          <w:b/>
          <w:bCs/>
          <w:sz w:val="20"/>
          <w:szCs w:val="20"/>
        </w:rPr>
        <w:t>Keyword:</w:t>
      </w:r>
      <w:r w:rsidRPr="005B5164">
        <w:rPr>
          <w:rFonts w:ascii="Times New Roman" w:hAnsi="Times New Roman" w:cs="Times New Roman"/>
          <w:bCs/>
          <w:sz w:val="20"/>
          <w:szCs w:val="20"/>
        </w:rPr>
        <w:t xml:space="preserve"> Epistemological access, affordances, digital technologies, higher educational institutions</w:t>
      </w:r>
    </w:p>
    <w:p w14:paraId="4F48CECF" w14:textId="77777777" w:rsidR="00397AB8" w:rsidRPr="00397AB8" w:rsidRDefault="00397AB8" w:rsidP="005977F2">
      <w:pPr>
        <w:spacing w:before="240" w:after="0" w:line="240" w:lineRule="auto"/>
        <w:ind w:left="0" w:hanging="2"/>
        <w:jc w:val="both"/>
        <w:rPr>
          <w:rFonts w:ascii="Times New Roman" w:hAnsi="Times New Roman" w:cs="Times New Roman"/>
          <w:sz w:val="24"/>
          <w:szCs w:val="24"/>
        </w:rPr>
      </w:pPr>
      <w:r w:rsidRPr="00397AB8">
        <w:rPr>
          <w:rFonts w:ascii="Times New Roman" w:hAnsi="Times New Roman" w:cs="Times New Roman"/>
          <w:b/>
          <w:bCs/>
          <w:sz w:val="24"/>
          <w:szCs w:val="24"/>
        </w:rPr>
        <w:t>Introduction</w:t>
      </w:r>
    </w:p>
    <w:p w14:paraId="2B3030CC" w14:textId="33E9A993" w:rsidR="00B70B8D" w:rsidRPr="005B5164" w:rsidRDefault="00397AB8" w:rsidP="002808E4">
      <w:pPr>
        <w:spacing w:after="0" w:line="240" w:lineRule="auto"/>
        <w:ind w:leftChars="0" w:left="0" w:firstLineChars="0" w:firstLine="270"/>
        <w:jc w:val="both"/>
        <w:rPr>
          <w:rFonts w:ascii="Times New Roman" w:hAnsi="Times New Roman" w:cs="Times New Roman"/>
          <w:sz w:val="20"/>
          <w:szCs w:val="20"/>
        </w:rPr>
      </w:pPr>
      <w:r w:rsidRPr="005B5164">
        <w:rPr>
          <w:rFonts w:ascii="Times New Roman" w:hAnsi="Times New Roman" w:cs="Times New Roman"/>
          <w:sz w:val="20"/>
          <w:szCs w:val="20"/>
        </w:rPr>
        <w:t>As digital technologies are developing, technology</w:t>
      </w:r>
      <w:r w:rsidRPr="005B5164">
        <w:rPr>
          <w:rFonts w:ascii="Times New Roman" w:hAnsi="Times New Roman" w:cs="Times New Roman"/>
          <w:sz w:val="20"/>
          <w:szCs w:val="20"/>
        </w:rPr>
        <w:noBreakHyphen/>
        <w:t xml:space="preserve">integrated learning has also evolved, and the demand for technology in education has increased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&lt;EndNote&gt;&lt;Cite&gt;&lt;Author&gt;Ma&lt;/Author&gt;&lt;Year&gt;2020&lt;/Year&gt;&lt;RecNum&gt;118&lt;/RecNum&gt;&lt;DisplayText&gt;(Ma et al., 2020)&lt;/DisplayText&gt;&lt;record&gt;&lt;rec-number&gt;118&lt;/rec-number&gt;&lt;foreign-keys&gt;&lt;key app="EN" db-id="zazt0005c02a9aeaxpdv00p7tpexrpww9r0a" timestamp="1648382083"&gt;118&lt;/key&gt;&lt;/foreign-keys&gt;&lt;ref-type name="Journal Article"&gt;17&lt;/ref-type&gt;&lt;contributors&gt;&lt;authors&gt;&lt;author&gt;Ma, Muqing&lt;/author&gt;&lt;author&gt;Chen, Jianlin&lt;/author&gt;&lt;author&gt;Zheng, Peiyun&lt;/author&gt;&lt;author&gt;Wu, Yue&lt;/author&gt;&lt;/authors&gt;&lt;/contributors&gt;&lt;titles&gt;&lt;title&gt;Factors affecting EFL teachers’ affordance transfer of ICT resources in China&lt;/title&gt;&lt;secondary-title&gt;Interactive Learning Environments&lt;/secondary-title&gt;&lt;/titles&gt;&lt;periodical&gt;&lt;full-title&gt;Interactive Learning Environments&lt;/full-title&gt;&lt;/periodical&gt;&lt;pages&gt;1-16&lt;/pages&gt;&lt;dates&gt;&lt;year&gt;2020&lt;/year&gt;&lt;/dates&gt;&lt;isbn&gt;1049-4820&lt;/isbn&gt;&lt;urls&gt;&lt;/urls&gt;&lt;/record&gt;&lt;/Cite&gt;&lt;/EndNote&gt;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(Ma et al., 2020)</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Digital technology affordances have entered a new phase with the introduction of new modern technologies in the education context, for example learning management systems, digital libraries, open ERP, Sakai. The affordances of digital technologies have given rise to extraordinary and diversified digital innovations, which should assist in dialogical interaction via digital supportive classrooms in higher education institutions. Digital technologies provide convenience for learning among students and context awareness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&lt;EndNote&gt;&lt;Cite&gt;&lt;Author&gt;Tan-Hsu&lt;/Author&gt;&lt;Year&gt;2012&lt;/Year&gt;&lt;RecNum&gt;2467&lt;/RecNum&gt;&lt;DisplayText&gt;(Tan-Hsu et al., 2012)&lt;/DisplayText&gt;&lt;record&gt;&lt;rec-number&gt;2467&lt;/rec-number&gt;&lt;foreign-keys&gt;&lt;key app="EN" db-id="zazt0005c02a9aeaxpdv00p7tpexrpww9r0a" timestamp="1653635428"&gt;2467&lt;/key&gt;&lt;/foreign-keys&gt;&lt;ref-type name="Journal Article"&gt;17&lt;/ref-type&gt;&lt;contributors&gt;&lt;authors&gt;&lt;author&gt;Tan-Hsu, Tan&lt;/author&gt;&lt;author&gt;Min-Sheng, Lin&lt;/author&gt;&lt;author&gt;Yu-Ling, Chu&lt;/author&gt;&lt;author&gt;Tsung-Yu, Liu&lt;/author&gt;&lt;/authors&gt;&lt;/contributors&gt;&lt;titles&gt;&lt;title&gt;Educational Affordances of a Ubiquitous Learning Environment in a Natural Science Course&lt;/title&gt;&lt;secondary-title&gt;Journal of Educational Technology &amp;amp; Society&lt;/secondary-title&gt;&lt;/titles&gt;&lt;periodical&gt;&lt;full-title&gt;Journal of Educational Technology &amp;amp; Society&lt;/full-title&gt;&lt;/periodical&gt;&lt;pages&gt;206-219&lt;/pages&gt;&lt;volume&gt;15&lt;/volume&gt;&lt;number&gt;2&lt;/number&gt;&lt;dates&gt;&lt;year&gt;2012&lt;/year&gt;&lt;/dates&gt;&lt;publisher&gt;International Forum of Educational Technology &amp;amp; Society&lt;/publisher&gt;&lt;isbn&gt;11763647, 14364522&lt;/isbn&gt;&lt;urls&gt;&lt;related-urls&gt;&lt;url&gt;http://www.jstor.org/stable/jeductechsoci.15.2.206&lt;/url&gt;&lt;/related-urls&gt;&lt;/urls&gt;&lt;custom1&gt;Full publication date: April 2012&lt;/custom1&gt;&lt;remote-database-name&gt;JSTOR&lt;/remote-database-name&gt;&lt;access-date&gt;2022/05/27/&lt;/access-date&gt;&lt;/record&gt;&lt;/Cite&gt;&lt;/EndNote&gt;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(Tan-Hsu et al., 2012)</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ease knowledge delivery by teachers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&lt;EndNote&gt;&lt;Cite&gt;&lt;Author&gt;Cheikh-Ammar&lt;/Author&gt;&lt;Year&gt;2018&lt;/Year&gt;&lt;RecNum&gt;289&lt;/RecNum&gt;&lt;DisplayText&gt;(Cheikh-Ammar, 2018)&lt;/DisplayText&gt;&lt;record&gt;&lt;rec-number&gt;289&lt;/rec-number&gt;&lt;foreign-keys&gt;&lt;key app="EN" db-id="zazt0005c02a9aeaxpdv00p7tpexrpww9r0a" timestamp="1648495134"&gt;289&lt;/key&gt;&lt;/foreign-keys&gt;&lt;ref-type name="Journal Article"&gt;17&lt;/ref-type&gt;&lt;contributors&gt;&lt;authors&gt;&lt;author&gt;Cheikh-Ammar, Mustapha&lt;/author&gt;&lt;/authors&gt;&lt;/contributors&gt;&lt;titles&gt;&lt;title&gt;The IT artifact and its spirit: a nexus of human values, affordances, symbolic expressions, and IT features&lt;/title&gt;&lt;secondary-title&gt;European Journal of Information Systems&lt;/secondary-title&gt;&lt;/titles&gt;&lt;periodical&gt;&lt;full-title&gt;European Journal of Information Systems&lt;/full-title&gt;&lt;/periodical&gt;&lt;pages&gt;278-294&lt;/pages&gt;&lt;volume&gt;27&lt;/volume&gt;&lt;number&gt;3&lt;/number&gt;&lt;dates&gt;&lt;year&gt;2018&lt;/year&gt;&lt;/dates&gt;&lt;isbn&gt;0960-085X&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(Cheikh-Ammar, 2018)</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improve communicative skills and competence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&lt;EndNote&gt;&lt;Cite&gt;&lt;Author&gt;Liaw&lt;/Author&gt;&lt;Year&gt;2014&lt;/Year&gt;&lt;RecNum&gt;2106&lt;/RecNum&gt;&lt;DisplayText&gt;(Liaw, 2014)&lt;/DisplayText&gt;&lt;record&gt;&lt;rec-number&gt;2106&lt;/rec-number&gt;&lt;foreign-keys&gt;&lt;key app="EN" db-id="zazt0005c02a9aeaxpdv00p7tpexrpww9r0a" timestamp="1652919059"&gt;2106&lt;/key&gt;&lt;/foreign-keys&gt;&lt;ref-type name="Journal Article"&gt;17&lt;/ref-type&gt;&lt;contributors&gt;&lt;authors&gt;&lt;author&gt;Liaw, Meei-Ling&lt;/author&gt;&lt;/authors&gt;&lt;/contributors&gt;&lt;titles&gt;&lt;title&gt;The affordance of speech recognition technology for EFL learning in an elementary school setting&lt;/title&gt;&lt;secondary-title&gt;Innovation in Language Learning and Teaching&lt;/secondary-title&gt;&lt;/titles&gt;&lt;periodical&gt;&lt;full-title&gt;Innovation in Language Learning and Teaching&lt;/full-title&gt;&lt;/periodical&gt;&lt;pages&gt;79-93&lt;/pages&gt;&lt;volume&gt;8&lt;/volume&gt;&lt;number&gt;1&lt;/number&gt;&lt;dates&gt;&lt;year&gt;2014&lt;/year&gt;&lt;pub-dates&gt;&lt;date&gt;2014/01/02&lt;/date&gt;&lt;/pub-dates&gt;&lt;/dates&gt;&lt;publisher&gt;Routledge&lt;/publisher&gt;&lt;isbn&gt;1750-1229&lt;/isbn&gt;&lt;urls&gt;&lt;related-urls&gt;&lt;url&gt;https://doi.org/10.1080/17501229.2012.756491&lt;/url&gt;&lt;/related-urls&gt;&lt;/urls&gt;&lt;electronic-resource-num&gt;10.1080/17501229.2012.756491&lt;/electronic-resource-num&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(Liaw, 2014)</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and promote learning autonomy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&lt;EndNote&gt;&lt;Cite&gt;&lt;Author&gt;Ma&lt;/Author&gt;&lt;Year&gt;2020&lt;/Year&gt;&lt;RecNum&gt;118&lt;/RecNum&gt;&lt;DisplayText&gt;(Baran &amp;amp; AlZoubi, 2020; Ma et al., 2020)&lt;/DisplayText&gt;&lt;record&gt;&lt;rec-number&gt;118&lt;/rec-number&gt;&lt;foreign-keys&gt;&lt;key app="EN" db-id="zazt0005c02a9aeaxpdv00p7tpexrpww9r0a" timestamp="1648382083"&gt;118&lt;/key&gt;&lt;/foreign-keys&gt;&lt;ref-type name="Journal Article"&gt;17&lt;/ref-type&gt;&lt;contributors&gt;&lt;authors&gt;&lt;author&gt;Ma, Muqing&lt;/author&gt;&lt;author&gt;Chen, Jianlin&lt;/author&gt;&lt;author&gt;Zheng, Peiyun&lt;/author&gt;&lt;author&gt;Wu, Yue&lt;/author&gt;&lt;/authors&gt;&lt;/contributors&gt;&lt;titles&gt;&lt;title&gt;Factors affecting EFL teachers’ affordance transfer of ICT resources in China&lt;/title&gt;&lt;secondary-title&gt;Interactive Learning Environments&lt;/secondary-title&gt;&lt;/titles&gt;&lt;periodical&gt;&lt;full-title&gt;Interactive Learning Environments&lt;/full-title&gt;&lt;/periodical&gt;&lt;pages&gt;1-16&lt;/pages&gt;&lt;dates&gt;&lt;year&gt;2020&lt;/year&gt;&lt;/dates&gt;&lt;isbn&gt;1049-4820&lt;/isbn&gt;&lt;urls&gt;&lt;/urls&gt;&lt;/record&gt;&lt;/Cite&gt;&lt;Cite&gt;&lt;Author&gt;Baran&lt;/Author&gt;&lt;Year&gt;2020&lt;/Year&gt;&lt;RecNum&gt;172&lt;/RecNum&gt;&lt;record&gt;&lt;rec-number&gt;172&lt;/rec-number&gt;&lt;foreign-keys&gt;&lt;key app="EN" db-id="zazt0005c02a9aeaxpdv00p7tpexrpww9r0a" timestamp="1648418300"&gt;172&lt;/key&gt;&lt;/foreign-keys&gt;&lt;ref-type name="Journal Article"&gt;17&lt;/ref-type&gt;&lt;contributors&gt;&lt;authors&gt;&lt;author&gt;Baran, Evrim&lt;/author&gt;&lt;author&gt;AlZoubi, Dana&lt;/author&gt;&lt;/authors&gt;&lt;/contributors&gt;&lt;titles&gt;&lt;title&gt;Affordances, challenges, and impact of open pedagogy: Examining students’ voices&lt;/title&gt;&lt;secondary-title&gt;Distance Education&lt;/secondary-title&gt;&lt;/titles&gt;&lt;periodical&gt;&lt;full-title&gt;Distance Education&lt;/full-title&gt;&lt;/periodical&gt;&lt;pages&gt;230-244&lt;/pages&gt;&lt;volume&gt;41&lt;/volume&gt;&lt;number&gt;2&lt;/number&gt;&lt;dates&gt;&lt;year&gt;2020&lt;/year&gt;&lt;/dates&gt;&lt;isbn&gt;0158-7919&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(Baran &amp; AlZoubi, 2020; Ma et al., 2020)</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Therefore, digital technology affordances </w:t>
      </w:r>
      <w:r w:rsidR="005B5164" w:rsidRPr="005B5164">
        <w:rPr>
          <w:rFonts w:ascii="Times New Roman" w:hAnsi="Times New Roman" w:cs="Times New Roman"/>
          <w:sz w:val="20"/>
          <w:szCs w:val="20"/>
        </w:rPr>
        <w:t>have</w:t>
      </w:r>
      <w:r w:rsidRPr="005B5164">
        <w:rPr>
          <w:rFonts w:ascii="Times New Roman" w:hAnsi="Times New Roman" w:cs="Times New Roman"/>
          <w:sz w:val="20"/>
          <w:szCs w:val="20"/>
        </w:rPr>
        <w:t xml:space="preserve"> been identified as a new concept that </w:t>
      </w:r>
      <w:r w:rsidR="005B5164" w:rsidRPr="005B5164">
        <w:rPr>
          <w:rFonts w:ascii="Times New Roman" w:hAnsi="Times New Roman" w:cs="Times New Roman"/>
          <w:sz w:val="20"/>
          <w:szCs w:val="20"/>
        </w:rPr>
        <w:t>has important</w:t>
      </w:r>
      <w:r w:rsidRPr="005B5164">
        <w:rPr>
          <w:rFonts w:ascii="Times New Roman" w:hAnsi="Times New Roman" w:cs="Times New Roman"/>
          <w:sz w:val="20"/>
          <w:szCs w:val="20"/>
        </w:rPr>
        <w:t xml:space="preserve"> future directions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w:instrTex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EN.CITE.DATA </w:instrTex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(Al-Maawali, 2020; Bahari, 2021; Bobsin et al., 2019; Eshchar‐Netz &amp; Vedder‐Weiss, 2021; K. Lee et al., 2014)</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for gaining access to education in higher education institutions, especially even among less privileged students. Despite the promising and important future of digital technology affordances, the successful integration of digital technologies </w:t>
      </w:r>
      <w:r w:rsidRPr="005B5164">
        <w:rPr>
          <w:rFonts w:ascii="Times New Roman" w:hAnsi="Times New Roman" w:cs="Times New Roman"/>
          <w:sz w:val="20"/>
          <w:szCs w:val="20"/>
        </w:rPr>
        <w:lastRenderedPageBreak/>
        <w:t xml:space="preserve">into higher education institutions requires the full engagement and dedication of educators and policymakers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&lt;EndNote&gt;&lt;Cite&gt;&lt;Author&gt;D’Ambra&lt;/Author&gt;&lt;Year&gt;2019&lt;/Year&gt;&lt;RecNum&gt;2377&lt;/RecNum&gt;&lt;DisplayText&gt;(D’Ambra et al., 2019)&lt;/DisplayText&gt;&lt;record&gt;&lt;rec-number&gt;2377&lt;/rec-number&gt;&lt;foreign-keys&gt;&lt;key app="EN" db-id="zazt0005c02a9aeaxpdv00p7tpexrpww9r0a" timestamp="1652965560"&gt;2377&lt;/key&gt;&lt;/foreign-keys&gt;&lt;ref-type name="Journal Article"&gt;17&lt;/ref-type&gt;&lt;contributors&gt;&lt;authors&gt;&lt;author&gt;D’Ambra, John&lt;/author&gt;&lt;author&gt;Wilson, Concepcion S&lt;/author&gt;&lt;author&gt;Akter, Shahriar&lt;/author&gt;&lt;/authors&gt;&lt;/contributors&gt;&lt;titles&gt;&lt;title&gt;Affordance theory and e-books: evaluating the e-reading experience using netnography&lt;/title&gt;&lt;secondary-title&gt;Personal and Ubiquitous Computing&lt;/secondary-title&gt;&lt;/titles&gt;&lt;periodical&gt;&lt;full-title&gt;Personal and Ubiquitous Computing&lt;/full-title&gt;&lt;/periodical&gt;&lt;pages&gt;873-892&lt;/pages&gt;&lt;volume&gt;23&lt;/volume&gt;&lt;number&gt;5&lt;/number&gt;&lt;dates&gt;&lt;year&gt;2019&lt;/year&gt;&lt;/dates&gt;&lt;isbn&gt;1617-4917&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 xml:space="preserve">(D’Ambra </w:t>
      </w:r>
      <w:r w:rsidRPr="005B5164">
        <w:rPr>
          <w:rFonts w:ascii="Times New Roman" w:hAnsi="Times New Roman" w:cs="Times New Roman"/>
          <w:i/>
          <w:noProof/>
          <w:sz w:val="20"/>
          <w:szCs w:val="20"/>
        </w:rPr>
        <w:t xml:space="preserve">et al., </w:t>
      </w:r>
      <w:r w:rsidRPr="005B5164">
        <w:rPr>
          <w:rFonts w:ascii="Times New Roman" w:hAnsi="Times New Roman" w:cs="Times New Roman"/>
          <w:noProof/>
          <w:sz w:val="20"/>
          <w:szCs w:val="20"/>
        </w:rPr>
        <w:t>2019)</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But research has shown that faculties in higher educational institutions in sub</w:t>
      </w:r>
      <w:r w:rsidRPr="005B5164">
        <w:rPr>
          <w:rFonts w:ascii="Times New Roman" w:hAnsi="Times New Roman" w:cs="Times New Roman"/>
          <w:sz w:val="20"/>
          <w:szCs w:val="20"/>
        </w:rPr>
        <w:noBreakHyphen/>
        <w:t xml:space="preserve">Saharan Africa are often hesitant or even refuse to use digital technologies as a way for students to get an education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&lt;EndNote&gt;&lt;Cite&gt;&lt;Author&gt;Ma&lt;/Author&gt;&lt;Year&gt;2020&lt;/Year&gt;&lt;RecNum&gt;118&lt;/RecNum&gt;&lt;DisplayText&gt;(Ma et al., 2020)&lt;/DisplayText&gt;&lt;record&gt;&lt;rec-number&gt;118&lt;/rec-number&gt;&lt;foreign-keys&gt;&lt;key app="EN" db-id="zazt0005c02a9aeaxpdv00p7tpexrpww9r0a" timestamp="1648382083"&gt;118&lt;/key&gt;&lt;/foreign-keys&gt;&lt;ref-type name="Journal Article"&gt;17&lt;/ref-type&gt;&lt;contributors&gt;&lt;authors&gt;&lt;author&gt;Ma, Muqing&lt;/author&gt;&lt;author&gt;Chen, Jianlin&lt;/author&gt;&lt;author&gt;Zheng, Peiyun&lt;/author&gt;&lt;author&gt;Wu, Yue&lt;/author&gt;&lt;/authors&gt;&lt;/contributors&gt;&lt;titles&gt;&lt;title&gt;Factors affecting EFL teachers’ affordance transfer of ICT resources in China&lt;/title&gt;&lt;secondary-title&gt;Interactive Learning Environments&lt;/secondary-title&gt;&lt;/titles&gt;&lt;periodical&gt;&lt;full-title&gt;Interactive Learning Environments&lt;/full-title&gt;&lt;/periodical&gt;&lt;pages&gt;1-16&lt;/pages&gt;&lt;dates&gt;&lt;year&gt;2020&lt;/year&gt;&lt;/dates&gt;&lt;isbn&gt;1049-4820&lt;/isbn&gt;&lt;urls&gt;&lt;/urls&gt;&lt;/record&gt;&lt;/Cite&gt;&lt;/EndNote&gt;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(Ma et al., 2020)</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w:t>
      </w:r>
      <w:r>
        <w:rPr>
          <w:rFonts w:ascii="Times New Roman" w:hAnsi="Times New Roman" w:cs="Times New Roman"/>
          <w:sz w:val="20"/>
          <w:szCs w:val="20"/>
        </w:rPr>
        <w:t xml:space="preserve"> </w:t>
      </w:r>
      <w:r w:rsidRPr="005B5164">
        <w:rPr>
          <w:rFonts w:ascii="Times New Roman" w:hAnsi="Times New Roman" w:cs="Times New Roman"/>
          <w:sz w:val="20"/>
          <w:szCs w:val="20"/>
        </w:rPr>
        <w:t xml:space="preserve">With the introduction of high-tech learning environments, such as flipped learning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&lt;EndNote&gt;&lt;Cite&gt;&lt;Author&gt;Sams&lt;/Author&gt;&lt;Year&gt;2013&lt;/Year&gt;&lt;RecNum&gt;3129&lt;/RecNum&gt;&lt;DisplayText&gt;(Sams &amp;amp; Bergmann, 2013)&lt;/DisplayText&gt;&lt;record&gt;&lt;rec-number&gt;3129&lt;/rec-number&gt;&lt;foreign-keys&gt;&lt;key app="EN" db-id="zazt0005c02a9aeaxpdv00p7tpexrpww9r0a" timestamp="1666773713"&gt;3129&lt;/key&gt;&lt;/foreign-keys&gt;&lt;ref-type name="Journal Article"&gt;17&lt;/ref-type&gt;&lt;contributors&gt;&lt;authors&gt;&lt;author&gt;Sams, Aaron&lt;/author&gt;&lt;author&gt;Bergmann, Jonathan&lt;/author&gt;&lt;/authors&gt;&lt;/contributors&gt;&lt;titles&gt;&lt;title&gt;Flip your students&amp;apos; learning&lt;/title&gt;&lt;secondary-title&gt;Educational leadership&lt;/secondary-title&gt;&lt;/titles&gt;&lt;periodical&gt;&lt;full-title&gt;Educational leadership&lt;/full-title&gt;&lt;/periodical&gt;&lt;pages&gt;16-20&lt;/pages&gt;&lt;volume&gt;70&lt;/volume&gt;&lt;number&gt;6&lt;/number&gt;&lt;dates&gt;&lt;year&gt;2013&lt;/year&gt;&lt;/dates&gt;&lt;isbn&gt;0013-1784&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(Sams &amp; Bergmann, 2013)</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massive open online courses (MOOCs)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&lt;EndNote&gt;&lt;Cite&gt;&lt;Author&gt;Siemens&lt;/Author&gt;&lt;Year&gt;2012&lt;/Year&gt;&lt;RecNum&gt;3128&lt;/RecNum&gt;&lt;DisplayText&gt;(Siemens, 2012)&lt;/DisplayText&gt;&lt;record&gt;&lt;rec-number&gt;3128&lt;/rec-number&gt;&lt;foreign-keys&gt;&lt;key app="EN" db-id="zazt0005c02a9aeaxpdv00p7tpexrpww9r0a" timestamp="1666773603"&gt;3128&lt;/key&gt;&lt;/foreign-keys&gt;&lt;ref-type name="Generic"&gt;13&lt;/ref-type&gt;&lt;contributors&gt;&lt;authors&gt;&lt;author&gt;Siemens, George&lt;/author&gt;&lt;/authors&gt;&lt;/contributors&gt;&lt;titles&gt;&lt;title&gt;MOOCs are really a platform. eLearnspace&lt;/title&gt;&lt;/titles&gt;&lt;dates&gt;&lt;year&gt;2012&lt;/year&gt;&lt;/dates&gt;&lt;urls&gt;&lt;/urls&gt;&lt;/record&gt;&lt;/Cite&gt;&lt;/EndNote&gt;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(Siemens, 2012)</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mobile technology, and social media, the use of digital technologies for gaining access to education in higher educational institutions (HEIs) in most African countries, specifically Nigeria, is highly critical. As these learning contexts could greatly facilitate and ease access to education when deployed, higher educational institutions in Nigeria have not embraced digital technologies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&lt;EndNote&gt;&lt;Cite&gt;&lt;Author&gt;Okwelogu&lt;/Author&gt;&lt;Year&gt;2021&lt;/Year&gt;&lt;RecNum&gt;325&lt;/RecNum&gt;&lt;DisplayText&gt;(Okwelogu et al., 2021)&lt;/DisplayText&gt;&lt;record&gt;&lt;rec-number&gt;325&lt;/rec-number&gt;&lt;foreign-keys&gt;&lt;key app="EN" db-id="zazt0005c02a9aeaxpdv00p7tpexrpww9r0a" timestamp="1649832141"&gt;325&lt;/key&gt;&lt;/foreign-keys&gt;&lt;ref-type name="Journal Article"&gt;17&lt;/ref-type&gt;&lt;contributors&gt;&lt;authors&gt;&lt;author&gt;Okwelogu, IS&lt;/author&gt;&lt;author&gt;Mohammed, Usman&lt;/author&gt;&lt;author&gt;Ogunode, NJ&lt;/author&gt;&lt;/authors&gt;&lt;/contributors&gt;&lt;titles&gt;&lt;title&gt;Implementation of National Policy on Information Communication Technology (ICT) in Public Secondary Schools in Nigeria: Problems and Solutions&lt;/title&gt;&lt;secondary-title&gt;Middle European Scientific Bulletin&lt;/secondary-title&gt;&lt;/titles&gt;&lt;periodical&gt;&lt;full-title&gt;Middle European Scientific Bulletin&lt;/full-title&gt;&lt;/periodical&gt;&lt;pages&gt;147-157&lt;/pages&gt;&lt;volume&gt;19&lt;/volume&gt;&lt;dates&gt;&lt;year&gt;2021&lt;/year&gt;&lt;/dates&gt;&lt;isbn&gt;2694-9970&lt;/isbn&gt;&lt;urls&gt;&lt;/urls&gt;&lt;/record&gt;&lt;/Cite&gt;&lt;/EndNote&gt;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(Okwelogu et al., 2021)</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even though the Nigerian Federal Ministry of Education and the Nigerian Federal Ministry of Digital Economy have been encouraging staff of higher educational institutions to use cutting</w:t>
      </w:r>
      <w:r w:rsidRPr="005B5164">
        <w:rPr>
          <w:rFonts w:ascii="Times New Roman" w:hAnsi="Times New Roman" w:cs="Times New Roman"/>
          <w:sz w:val="20"/>
          <w:szCs w:val="20"/>
        </w:rPr>
        <w:noBreakHyphen/>
        <w:t xml:space="preserve">edge technologies effectively for teaching and learning purposes, with the hope of bridging the gap between marginalized groups and the elites’ children in rural and urban regions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&lt;EndNote&gt;&lt;Cite&gt;&lt;Author&gt;Adamu&lt;/Author&gt;&lt;Year&gt;2019&lt;/Year&gt;&lt;RecNum&gt;326&lt;/RecNum&gt;&lt;DisplayText&gt;(Adamu, 2019; Okwelogu et al., 2021)&lt;/DisplayText&gt;&lt;record&gt;&lt;rec-number&gt;326&lt;/rec-number&gt;&lt;foreign-keys&gt;&lt;key app="EN" db-id="zazt0005c02a9aeaxpdv00p7tpexrpww9r0a" timestamp="1649832659"&gt;326&lt;/key&gt;&lt;/foreign-keys&gt;&lt;ref-type name="Report"&gt;27&lt;/ref-type&gt;&lt;contributors&gt;&lt;authors&gt;&lt;author&gt;Adamu, A.&lt;/author&gt;&lt;/authors&gt;&lt;/contributors&gt;&lt;titles&gt;&lt;title&gt;National Policy on Information Communication Technologies (ICT) in Education&lt;/title&gt;&lt;/titles&gt;&lt;pages&gt;39&lt;/pages&gt;&lt;dates&gt;&lt;year&gt;2019&lt;/year&gt;&lt;/dates&gt;&lt;pub-location&gt;Feederal Ministry of Education, Nigeria&lt;/pub-location&gt;&lt;urls&gt;&lt;related-urls&gt;&lt;url&gt;https://education.gov.ng/wp-content/uploads/2019/08/NATIONAL-POLICY-ON-ICT-IN-EDUCATION-2019.pdf&lt;/url&gt;&lt;/related-urls&gt;&lt;/urls&gt;&lt;/record&gt;&lt;/Cite&gt;&lt;Cite&gt;&lt;Author&gt;Okwelogu&lt;/Author&gt;&lt;Year&gt;2021&lt;/Year&gt;&lt;RecNum&gt;325&lt;/RecNum&gt;&lt;record&gt;&lt;rec-number&gt;325&lt;/rec-number&gt;&lt;foreign-keys&gt;&lt;key app="EN" db-id="zazt0005c02a9aeaxpdv00p7tpexrpww9r0a" timestamp="1649832141"&gt;325&lt;/key&gt;&lt;/foreign-keys&gt;&lt;ref-type name="Journal Article"&gt;17&lt;/ref-type&gt;&lt;contributors&gt;&lt;authors&gt;&lt;author&gt;Okwelogu, IS&lt;/author&gt;&lt;author&gt;Mohammed, Usman&lt;/author&gt;&lt;author&gt;Ogunode, NJ&lt;/author&gt;&lt;/authors&gt;&lt;/contributors&gt;&lt;titles&gt;&lt;title&gt;Implementation of National Policy on Information Communication Technology (ICT) in Public Secondary Schools in Nigeria: Problems and Solutions&lt;/title&gt;&lt;secondary-title&gt;Middle European Scientific Bulletin&lt;/secondary-title&gt;&lt;/titles&gt;&lt;periodical&gt;&lt;full-title&gt;Middle European Scientific Bulletin&lt;/full-title&gt;&lt;/periodical&gt;&lt;pages&gt;147-157&lt;/pages&gt;&lt;volume&gt;19&lt;/volume&gt;&lt;dates&gt;&lt;year&gt;2021&lt;/year&gt;&lt;/dates&gt;&lt;isbn&gt;2694-9970&lt;/isbn&gt;&lt;urls&gt;&lt;/urls&gt;&lt;/record&gt;&lt;/Cite&gt;&lt;/EndNote&gt;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(Adamu, 2019; Okwelogu et al., 2021)</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Nevertheless, the majority of university lecturers in Nigeria are not using the available digital technologies even if they are provided for teaching as envisioned by the Federal Ministry of Education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&lt;EndNote&gt;&lt;Cite&gt;&lt;Author&gt;Okwelogu&lt;/Author&gt;&lt;Year&gt;2021&lt;/Year&gt;&lt;RecNum&gt;325&lt;/RecNum&gt;&lt;DisplayText&gt;(Okwelogu et al., 2021)&lt;/DisplayText&gt;&lt;record&gt;&lt;rec-number&gt;325&lt;/rec-number&gt;&lt;foreign-keys&gt;&lt;key app="EN" db-id="zazt0005c02a9aeaxpdv00p7tpexrpww9r0a" timestamp="1649832141"&gt;325&lt;/key&gt;&lt;/foreign-keys&gt;&lt;ref-type name="Journal Article"&gt;17&lt;/ref-type&gt;&lt;contributors&gt;&lt;authors&gt;&lt;author&gt;Okwelogu, IS&lt;/author&gt;&lt;author&gt;Mohammed, Usman&lt;/author&gt;&lt;author&gt;Ogunode, NJ&lt;/author&gt;&lt;/authors&gt;&lt;/contributors&gt;&lt;titles&gt;&lt;title&gt;Implementation of National Policy on Information Communication Technology (ICT) in Public Secondary Schools in Nigeria: Problems and Solutions&lt;/title&gt;&lt;secondary-title&gt;Middle European Scientific Bulletin&lt;/secondary-title&gt;&lt;/titles&gt;&lt;periodical&gt;&lt;full-title&gt;Middle European Scientific Bulletin&lt;/full-title&gt;&lt;/periodical&gt;&lt;pages&gt;147-157&lt;/pages&gt;&lt;volume&gt;19&lt;/volume&gt;&lt;dates&gt;&lt;year&gt;2021&lt;/year&gt;&lt;/dates&gt;&lt;isbn&gt;2694-9970&lt;/isbn&gt;&lt;urls&gt;&lt;/urls&gt;&lt;/record&gt;&lt;/Cite&gt;&lt;/EndNote&gt;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(Okwelogu et al., 2021)</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They either responded poorly to facilities provided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&lt;EndNote&gt;&lt;Cite&gt;&lt;Author&gt;Huang&lt;/Author&gt;&lt;Year&gt;2021&lt;/Year&gt;&lt;RecNum&gt;64&lt;/RecNum&gt;&lt;DisplayText&gt;(Huang et al., 2021; Ma et al., 2020)&lt;/DisplayText&gt;&lt;record&gt;&lt;rec-number&gt;64&lt;/rec-number&gt;&lt;foreign-keys&gt;&lt;key app="EN" db-id="zazt0005c02a9aeaxpdv00p7tpexrpww9r0a" timestamp="1648364153"&gt;64&lt;/key&gt;&lt;/foreign-keys&gt;&lt;ref-type name="Journal Article"&gt;17&lt;/ref-type&gt;&lt;contributors&gt;&lt;authors&gt;&lt;author&gt;Huang, Weijiao&lt;/author&gt;&lt;author&gt;Hew, Khe Foon&lt;/author&gt;&lt;author&gt;Fryer, Luke K&lt;/author&gt;&lt;/authors&gt;&lt;/contributors&gt;&lt;titles&gt;&lt;title&gt;Chatbots for language learning—Are they really useful? A systematic review of chatbot‐supported language learning&lt;/title&gt;&lt;secondary-title&gt;Journal of Computer Assisted Learning&lt;/secondary-title&gt;&lt;/titles&gt;&lt;periodical&gt;&lt;full-title&gt;Journal of Computer Assisted Learning&lt;/full-title&gt;&lt;/periodical&gt;&lt;dates&gt;&lt;year&gt;2021&lt;/year&gt;&lt;/dates&gt;&lt;isbn&gt;0266-4909&lt;/isbn&gt;&lt;urls&gt;&lt;/urls&gt;&lt;/record&gt;&lt;/Cite&gt;&lt;Cite&gt;&lt;Author&gt;Ma&lt;/Author&gt;&lt;Year&gt;2020&lt;/Year&gt;&lt;RecNum&gt;118&lt;/RecNum&gt;&lt;record&gt;&lt;rec-number&gt;118&lt;/rec-number&gt;&lt;foreign-keys&gt;&lt;key app="EN" db-id="zazt0005c02a9aeaxpdv00p7tpexrpww9r0a" timestamp="1648382083"&gt;118&lt;/key&gt;&lt;/foreign-keys&gt;&lt;ref-type name="Journal Article"&gt;17&lt;/ref-type&gt;&lt;contributors&gt;&lt;authors&gt;&lt;author&gt;Ma, Muqing&lt;/author&gt;&lt;author&gt;Chen, Jianlin&lt;/author&gt;&lt;author&gt;Zheng, Peiyun&lt;/author&gt;&lt;author&gt;Wu, Yue&lt;/author&gt;&lt;/authors&gt;&lt;/contributors&gt;&lt;titles&gt;&lt;title&gt;Factors affecting EFL teachers’ affordance transfer of ICT resources in China&lt;/title&gt;&lt;secondary-title&gt;Interactive Learning Environments&lt;/secondary-title&gt;&lt;/titles&gt;&lt;periodical&gt;&lt;full-title&gt;Interactive Learning Environments&lt;/full-title&gt;&lt;/periodical&gt;&lt;pages&gt;1-16&lt;/pages&gt;&lt;dates&gt;&lt;year&gt;2020&lt;/year&gt;&lt;/dates&gt;&lt;isbn&gt;1049-4820&lt;/isbn&gt;&lt;urls&gt;&lt;/urls&gt;&lt;/record&gt;&lt;/Cite&gt;&lt;/EndNote&gt;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(Huang et al., 2021; Ma et al., 2020)</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or used them in ways that lacked innovation and creativity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&lt;EndNote&gt;&lt;Cite&gt;&lt;Author&gt;Li&lt;/Author&gt;&lt;Year&gt;2017&lt;/Year&gt;&lt;RecNum&gt;67&lt;/RecNum&gt;&lt;DisplayText&gt;(Li, 2017)&lt;/DisplayText&gt;&lt;record&gt;&lt;rec-number&gt;67&lt;/rec-number&gt;&lt;foreign-keys&gt;&lt;key app="EN" db-id="zazt0005c02a9aeaxpdv00p7tpexrpww9r0a" timestamp="1648365368"&gt;67&lt;/key&gt;&lt;/foreign-keys&gt;&lt;ref-type name="Journal Article"&gt;17&lt;/ref-type&gt;&lt;contributors&gt;&lt;authors&gt;&lt;author&gt;Li, Guofang&lt;/author&gt;&lt;/authors&gt;&lt;/contributors&gt;&lt;titles&gt;&lt;title&gt;From Absence to Affordances: Integrating Old and New Literacies in School‐Based Instruction for English Learners&lt;/title&gt;&lt;secondary-title&gt;Journal of Adolescent &amp;amp; Adult Literacy&lt;/secondary-title&gt;&lt;/titles&gt;&lt;periodical&gt;&lt;full-title&gt;Journal of Adolescent &amp;amp; Adult Literacy&lt;/full-title&gt;&lt;/periodical&gt;&lt;pages&gt;241-246&lt;/pages&gt;&lt;volume&gt;61&lt;/volume&gt;&lt;number&gt;3&lt;/number&gt;&lt;dates&gt;&lt;year&gt;2017&lt;/year&gt;&lt;/dates&gt;&lt;isbn&gt;1081-3004&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(Li, 2017)</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 AuthorYear="1"&gt;&lt;Author&gt;Okwelogu&lt;/Author&gt;&lt;Year&gt;2021&lt;/Year&gt;&lt;RecNum&gt;325&lt;/RecNum&gt;&lt;DisplayText&gt;Okwelogu et al. (2021)&lt;/DisplayText&gt;&lt;record&gt;&lt;rec-number&gt;325&lt;/rec-number&gt;&lt;foreign-keys&gt;&lt;key app="EN" db-id="zazt0005c02a9aeaxpdv00p7tpexrpww9r0a" timestamp="1649832141"&gt;325&lt;/key&gt;&lt;/foreign-keys&gt;&lt;ref-type name="Journal Article"&gt;17&lt;/ref-type&gt;&lt;contributors&gt;&lt;authors&gt;&lt;author&gt;Okwelogu, IS&lt;/author&gt;&lt;author&gt;Mohammed, Usman&lt;/author&gt;&lt;author&gt;Ogunode, NJ&lt;/author&gt;&lt;/authors&gt;&lt;/contributors&gt;&lt;titles&gt;&lt;title&gt;Implementation of National Policy on Information Communication Technology (ICT) in Public Secondary Schools in Nigeria: Problems and Solutions&lt;/title&gt;&lt;secondary-title&gt;Middle European Scientific Bulletin&lt;/secondary-title&gt;&lt;/titles&gt;&lt;periodical&gt;&lt;full-title&gt;Middle European Scientific Bulletin&lt;/full-title&gt;&lt;/periodical&gt;&lt;pages&gt;147-157&lt;/pages&gt;&lt;volume&gt;19&lt;/volume&gt;&lt;dates&gt;&lt;year&gt;2021&lt;/year&gt;&lt;/dates&gt;&lt;isbn&gt;2694-9970&lt;/isbn&gt;&lt;urls&gt;&lt;/urls&gt;&lt;/record&gt;&lt;/Cite&gt;&lt;/EndNote&gt;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Okwelogu et al. (2021)</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in their study asserted that inadequate funding, fall in national review, insecurity, corruption, inadequate ICT expertise, shortage of infrastructural facilities, political instability, and policy instability were among the problems hindering effective use of technologies for teaching and learning. Therefore, there is also a severe gap between policy requirements and teaching practice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w:instrTex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EN.CITE.DATA </w:instrTex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(Adamu, 2019; Kuru Gönen, 2019; Luo et al., 2021; Okwelogu et al., 2021)</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when it comes to technology usage in classrooms. Barriers like insufficient access to an appropriate learning management system, insufficiency in teachers’ technology competence and confidence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&lt;EndNote&gt;&lt;Cite&gt;&lt;Author&gt;Liaw&lt;/Author&gt;&lt;Year&gt;2014&lt;/Year&gt;&lt;RecNum&gt;2106&lt;/RecNum&gt;&lt;DisplayText&gt;(Liaw, 2014)&lt;/DisplayText&gt;&lt;record&gt;&lt;rec-number&gt;2106&lt;/rec-number&gt;&lt;foreign-keys&gt;&lt;key app="EN" db-id="zazt0005c02a9aeaxpdv00p7tpexrpww9r0a" timestamp="1652919059"&gt;2106&lt;/key&gt;&lt;/foreign-keys&gt;&lt;ref-type name="Journal Article"&gt;17&lt;/ref-type&gt;&lt;contributors&gt;&lt;authors&gt;&lt;author&gt;Liaw, Meei-Ling&lt;/author&gt;&lt;/authors&gt;&lt;/contributors&gt;&lt;titles&gt;&lt;title&gt;The affordance of speech recognition technology for EFL learning in an elementary school setting&lt;/title&gt;&lt;secondary-title&gt;Innovation in Language Learning and Teaching&lt;/secondary-title&gt;&lt;/titles&gt;&lt;periodical&gt;&lt;full-title&gt;Innovation in Language Learning and Teaching&lt;/full-title&gt;&lt;/periodical&gt;&lt;pages&gt;79-93&lt;/pages&gt;&lt;volume&gt;8&lt;/volume&gt;&lt;number&gt;1&lt;/number&gt;&lt;dates&gt;&lt;year&gt;2014&lt;/year&gt;&lt;pub-dates&gt;&lt;date&gt;2014/01/02&lt;/date&gt;&lt;/pub-dates&gt;&lt;/dates&gt;&lt;publisher&gt;Routledge&lt;/publisher&gt;&lt;isbn&gt;1750-1229&lt;/isbn&gt;&lt;urls&gt;&lt;related-urls&gt;&lt;url&gt;https://doi.org/10.1080/17501229.2012.756491&lt;/url&gt;&lt;/related-urls&gt;&lt;/urls&gt;&lt;electronic-resource-num&gt;10.1080/17501229.2012.756491&lt;/electronic-resource-num&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(Liaw, 2014)</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the influence of Confucianism that emphasizes respecting authority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&lt;EndNote&gt;&lt;Cite&gt;&lt;Author&gt;Fu&lt;/Author&gt;&lt;Year&gt;2020&lt;/Year&gt;&lt;RecNum&gt;2443&lt;/RecNum&gt;&lt;DisplayText&gt;(Fu et al., 2020)&lt;/DisplayText&gt;&lt;record&gt;&lt;rec-number&gt;2443&lt;/rec-number&gt;&lt;foreign-keys&gt;&lt;key app="EN" db-id="zazt0005c02a9aeaxpdv00p7tpexrpww9r0a" timestamp="1653632464"&gt;2443&lt;/key&gt;&lt;/foreign-keys&gt;&lt;ref-type name="Journal Article"&gt;17&lt;/ref-type&gt;&lt;contributors&gt;&lt;authors&gt;&lt;author&gt;Fu, Shixuan&lt;/author&gt;&lt;author&gt;Gu, Huimin&lt;/author&gt;&lt;author&gt;Yang, Bo&lt;/author&gt;&lt;/authors&gt;&lt;/contributors&gt;&lt;titles&gt;&lt;title&gt;The affordances of AI-enabled automatic scoring applications on learners’ continuous learning intention: An empirical study in China&lt;/title&gt;&lt;secondary-title&gt;British Journal of Educational Technology&lt;/secondary-title&gt;&lt;/titles&gt;&lt;periodical&gt;&lt;full-title&gt;British Journal of Educational Technology&lt;/full-title&gt;&lt;/periodical&gt;&lt;pages&gt;1674-1692&lt;/pages&gt;&lt;volume&gt;51&lt;/volume&gt;&lt;number&gt;5&lt;/number&gt;&lt;dates&gt;&lt;year&gt;2020&lt;/year&gt;&lt;/dates&gt;&lt;isbn&gt;0007-1013&lt;/isbn&gt;&lt;urls&gt;&lt;related-urls&gt;&lt;url&gt;https://onlinelibrary.wiley.com/doi/abs/10.1111/bjet.12995&lt;/url&gt;&lt;/related-urls&gt;&lt;/urls&gt;&lt;electronic-resource-num&gt;https://doi.org/10.1111/bjet.12995&lt;/electronic-resource-num&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(Fu et al., 2020)</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prioritizes academic performance, and accentuates the role of examinations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&lt;EndNote&gt;&lt;Cite&gt;&lt;Author&gt;Kuru Gönen&lt;/Author&gt;&lt;Year&gt;2019&lt;/Year&gt;&lt;RecNum&gt;324&lt;/RecNum&gt;&lt;DisplayText&gt;(Kuru Gönen, 2019)&lt;/DisplayText&gt;&lt;record&gt;&lt;rec-number&gt;324&lt;/rec-number&gt;&lt;foreign-keys&gt;&lt;key app="EN" db-id="zazt0005c02a9aeaxpdv00p7tpexrpww9r0a" timestamp="1649829568"&gt;324&lt;/key&gt;&lt;/foreign-keys&gt;&lt;ref-type name="Journal Article"&gt;17&lt;/ref-type&gt;&lt;contributors&gt;&lt;authors&gt;&lt;author&gt;Kuru Gönen, Safiye İpek&lt;/author&gt;&lt;/authors&gt;&lt;/contributors&gt;&lt;titles&gt;&lt;title&gt;A qualitative study on a situated experience of technology integration: Reflections from pre-service teachers and students&lt;/title&gt;&lt;secondary-title&gt;Computer Assisted Language Learning&lt;/secondary-title&gt;&lt;/titles&gt;&lt;periodical&gt;&lt;full-title&gt;Computer Assisted Language Learning&lt;/full-title&gt;&lt;/periodical&gt;&lt;pages&gt;163-189&lt;/pages&gt;&lt;volume&gt;32&lt;/volume&gt;&lt;number&gt;3&lt;/number&gt;&lt;dates&gt;&lt;year&gt;2019&lt;/year&gt;&lt;/dates&gt;&lt;isbn&gt;0958-8221&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(Kuru Gönen, 2019)</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have frequently been mentioned in literature concerning the implementation of ICT</w:t>
      </w:r>
      <w:r w:rsidRPr="005B5164">
        <w:rPr>
          <w:rFonts w:ascii="Times New Roman" w:hAnsi="Times New Roman" w:cs="Times New Roman"/>
          <w:sz w:val="20"/>
          <w:szCs w:val="20"/>
        </w:rPr>
        <w:noBreakHyphen/>
        <w:t xml:space="preserve">based for teaching and learning in higher educational institutions. In most literature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w:instrTex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EN.CITE.DATA </w:instrTex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(Al-Ani, 2013; Al-Maawali, 2020; Antonenko et al., 2017; Bahari, 2021; Bray &amp; Tangney, 2016; Dinsmore, 2019; Eshchar‐Netz &amp; Vedder‐Weiss, 2021; Gibson et al., 2021; Kuru Gönen, 2019; Okwelogu et al., 2021; Wankel &amp; Blessinger, 2013)</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studies are mainly conducted in relation to ICT facilities for teaching and learning. There is a dearth of studies regarding access to right/disciplinary knowledge in universities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&lt;EndNote&gt;&lt;Cite&gt;&lt;Author&gt;Okwelogu&lt;/Author&gt;&lt;Year&gt;2021&lt;/Year&gt;&lt;RecNum&gt;325&lt;/RecNum&gt;&lt;DisplayText&gt;(Okwelogu et al., 2021)&lt;/DisplayText&gt;&lt;record&gt;&lt;rec-number&gt;325&lt;/rec-number&gt;&lt;foreign-keys&gt;&lt;key app="EN" db-id="zazt0005c02a9aeaxpdv00p7tpexrpww9r0a" timestamp="1649832141"&gt;325&lt;/key&gt;&lt;/foreign-keys&gt;&lt;ref-type name="Journal Article"&gt;17&lt;/ref-type&gt;&lt;contributors&gt;&lt;authors&gt;&lt;author&gt;Okwelogu, IS&lt;/author&gt;&lt;author&gt;Mohammed, Usman&lt;/author&gt;&lt;author&gt;Ogunode, NJ&lt;/author&gt;&lt;/authors&gt;&lt;/contributors&gt;&lt;titles&gt;&lt;title&gt;Implementation of National Policy on Information Communication Technology (ICT) in Public Secondary Schools in Nigeria: Problems and Solutions&lt;/title&gt;&lt;secondary-title&gt;Middle European Scientific Bulletin&lt;/secondary-title&gt;&lt;/titles&gt;&lt;periodical&gt;&lt;full-title&gt;Middle European Scientific Bulletin&lt;/full-title&gt;&lt;/periodical&gt;&lt;pages&gt;147-157&lt;/pages&gt;&lt;volume&gt;19&lt;/volume&gt;&lt;dates&gt;&lt;year&gt;2021&lt;/year&gt;&lt;/dates&gt;&lt;isbn&gt;2694-9970&lt;/isbn&gt;&lt;urls&gt;&lt;/urls&gt;&lt;/record&gt;&lt;/Cite&gt;&lt;/EndNote&gt;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(Okwelogu et al., 2021)</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especially through digitally supported classroom dialogue. In other words, an up</w:t>
      </w:r>
      <w:r w:rsidRPr="005B5164">
        <w:rPr>
          <w:rFonts w:ascii="Times New Roman" w:hAnsi="Times New Roman" w:cs="Times New Roman"/>
          <w:sz w:val="20"/>
          <w:szCs w:val="20"/>
        </w:rPr>
        <w:noBreakHyphen/>
        <w:t>to</w:t>
      </w:r>
      <w:r w:rsidRPr="005B5164">
        <w:rPr>
          <w:rFonts w:ascii="Times New Roman" w:hAnsi="Times New Roman" w:cs="Times New Roman"/>
          <w:sz w:val="20"/>
          <w:szCs w:val="20"/>
        </w:rPr>
        <w:noBreakHyphen/>
        <w:t xml:space="preserve">date systematic literature review with a focus on underprivileged students or marginalized groups for social inclusion in HEIs is still lacking. Moreover, affordance has not been actualized within the context of epistemological access and social justice. Hence, we are looking at epistemological access as social justice. In this study, we hope to use the educational affordances of digital technologies to facilitate epistemological access, thereby achieving social justice for underprivileged students or marginalized groups/students from rural communities or areas. Marginalized groups in this study are referred to as those students who do not have the upbringing that is supposed to support their educational career. Thus, we pose the following research question: </w:t>
      </w:r>
    </w:p>
    <w:p w14:paraId="72CCDABF" w14:textId="733EBBC9" w:rsidR="00B70B8D" w:rsidRPr="005B5164" w:rsidRDefault="00397AB8" w:rsidP="005977F2">
      <w:pPr>
        <w:spacing w:before="240"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b/>
          <w:bCs/>
          <w:sz w:val="20"/>
          <w:szCs w:val="20"/>
        </w:rPr>
        <w:t>Research Question 1:</w:t>
      </w:r>
      <w:r w:rsidRPr="005B5164">
        <w:rPr>
          <w:rFonts w:ascii="Times New Roman" w:hAnsi="Times New Roman" w:cs="Times New Roman"/>
          <w:b/>
          <w:bCs/>
          <w:i/>
          <w:iCs/>
          <w:sz w:val="20"/>
          <w:szCs w:val="20"/>
        </w:rPr>
        <w:t xml:space="preserve"> </w:t>
      </w:r>
      <w:r w:rsidRPr="005B5164">
        <w:rPr>
          <w:rFonts w:ascii="Times New Roman" w:hAnsi="Times New Roman" w:cs="Times New Roman"/>
          <w:color w:val="000000"/>
          <w:sz w:val="20"/>
          <w:szCs w:val="20"/>
        </w:rPr>
        <w:t>How are the educational affordances of digital technologies for gaining epistemological access among marginalized groups contextualized in higher institutions in sub</w:t>
      </w:r>
      <w:r w:rsidRPr="005B5164">
        <w:rPr>
          <w:rFonts w:ascii="Times New Roman" w:hAnsi="Times New Roman" w:cs="Times New Roman"/>
          <w:color w:val="000000"/>
          <w:sz w:val="20"/>
          <w:szCs w:val="20"/>
        </w:rPr>
        <w:noBreakHyphen/>
        <w:t>Saharan African universities?</w:t>
      </w:r>
    </w:p>
    <w:p w14:paraId="37F0CD05" w14:textId="36CA0B56" w:rsidR="00B70B8D" w:rsidRPr="005B5164" w:rsidRDefault="00397AB8" w:rsidP="005977F2">
      <w:pPr>
        <w:spacing w:after="0" w:line="240" w:lineRule="auto"/>
        <w:ind w:left="-2" w:firstLineChars="0" w:firstLine="0"/>
        <w:jc w:val="both"/>
        <w:rPr>
          <w:rFonts w:ascii="Times New Roman" w:hAnsi="Times New Roman" w:cs="Times New Roman"/>
          <w:color w:val="000000"/>
          <w:sz w:val="20"/>
          <w:szCs w:val="20"/>
        </w:rPr>
      </w:pPr>
      <w:r>
        <w:rPr>
          <w:rFonts w:ascii="Times New Roman" w:hAnsi="Times New Roman" w:cs="Times New Roman"/>
          <w:b/>
          <w:bCs/>
          <w:sz w:val="20"/>
          <w:szCs w:val="20"/>
        </w:rPr>
        <w:t>Research Question 2</w:t>
      </w:r>
      <w:r w:rsidRPr="00397AB8">
        <w:rPr>
          <w:rFonts w:ascii="Times New Roman" w:hAnsi="Times New Roman" w:cs="Times New Roman"/>
          <w:b/>
          <w:bCs/>
          <w:sz w:val="20"/>
          <w:szCs w:val="20"/>
        </w:rPr>
        <w:t xml:space="preserve">: </w:t>
      </w:r>
      <w:r w:rsidRPr="005B5164">
        <w:rPr>
          <w:rFonts w:ascii="Times New Roman" w:hAnsi="Times New Roman" w:cs="Times New Roman"/>
          <w:color w:val="000000"/>
          <w:sz w:val="20"/>
          <w:szCs w:val="20"/>
        </w:rPr>
        <w:t>What challenges may implicate gaining epistemological access in a quest to use digital technologies for dialogic interaction in higher institutions in sub</w:t>
      </w:r>
      <w:r w:rsidRPr="005B5164">
        <w:rPr>
          <w:rFonts w:ascii="Times New Roman" w:hAnsi="Times New Roman" w:cs="Times New Roman"/>
          <w:color w:val="000000"/>
          <w:sz w:val="20"/>
          <w:szCs w:val="20"/>
        </w:rPr>
        <w:noBreakHyphen/>
        <w:t>Saharan Africa?</w:t>
      </w:r>
    </w:p>
    <w:p w14:paraId="188D1BD9" w14:textId="60BF4A2A" w:rsidR="00B70B8D" w:rsidRPr="005B5164" w:rsidRDefault="00397AB8" w:rsidP="00415AB5">
      <w:pPr>
        <w:spacing w:after="0"/>
        <w:ind w:leftChars="0" w:left="0" w:firstLineChars="0" w:firstLine="0"/>
        <w:jc w:val="both"/>
        <w:rPr>
          <w:rFonts w:ascii="Times New Roman" w:hAnsi="Times New Roman" w:cs="Times New Roman"/>
          <w:sz w:val="20"/>
          <w:szCs w:val="20"/>
        </w:rPr>
      </w:pPr>
      <w:r w:rsidRPr="005B5164">
        <w:rPr>
          <w:rFonts w:ascii="Times New Roman" w:hAnsi="Times New Roman" w:cs="Times New Roman"/>
          <w:color w:val="000000"/>
          <w:sz w:val="20"/>
          <w:szCs w:val="20"/>
        </w:rPr>
        <w:t>To addres</w:t>
      </w:r>
      <w:r w:rsidRPr="005B5164">
        <w:rPr>
          <w:rFonts w:ascii="Times New Roman" w:hAnsi="Times New Roman" w:cs="Times New Roman"/>
          <w:sz w:val="20"/>
          <w:szCs w:val="20"/>
        </w:rPr>
        <w:t xml:space="preserve">s such a research gap and answer the posed research questions, we adopt a systematic literature review approach which is rigorous and transparent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w:instrTex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EN.CITE.DATA </w:instrTex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(Okoli &amp; Schabram, 2010; Schryen, 2015; Schryen et al., 2017)</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by reviewing 10 years of literature (</w:t>
      </w:r>
      <w:r w:rsidRPr="005B5164">
        <w:rPr>
          <w:rFonts w:ascii="Times New Roman" w:hAnsi="Times New Roman" w:cs="Times New Roman"/>
          <w:b/>
          <w:bCs/>
          <w:sz w:val="20"/>
          <w:szCs w:val="20"/>
        </w:rPr>
        <w:t>2012-2022</w:t>
      </w:r>
      <w:r w:rsidRPr="005B5164">
        <w:rPr>
          <w:rFonts w:ascii="Times New Roman" w:hAnsi="Times New Roman" w:cs="Times New Roman"/>
          <w:sz w:val="20"/>
          <w:szCs w:val="20"/>
        </w:rPr>
        <w:t>) on Digital Technology Affordances in Context for Epistemological Access with a systematic analysis of the trending issues, and research methodologies and theories over one decade. This method is the most reliable and comprehensive about what works.</w:t>
      </w:r>
    </w:p>
    <w:p w14:paraId="787202F5" w14:textId="3C43F4E0" w:rsidR="00B70B8D" w:rsidRPr="005977F2" w:rsidRDefault="00397AB8" w:rsidP="005977F2">
      <w:pPr>
        <w:spacing w:before="240"/>
        <w:ind w:left="0" w:hanging="2"/>
        <w:jc w:val="both"/>
        <w:rPr>
          <w:rFonts w:ascii="Times New Roman" w:hAnsi="Times New Roman" w:cs="Times New Roman"/>
          <w:b/>
          <w:bCs/>
          <w:sz w:val="24"/>
          <w:szCs w:val="24"/>
        </w:rPr>
      </w:pPr>
      <w:r w:rsidRPr="005977F2">
        <w:rPr>
          <w:rFonts w:ascii="Times New Roman" w:hAnsi="Times New Roman" w:cs="Times New Roman"/>
          <w:b/>
          <w:bCs/>
          <w:sz w:val="24"/>
          <w:szCs w:val="24"/>
        </w:rPr>
        <w:t>Methodology</w:t>
      </w:r>
    </w:p>
    <w:p w14:paraId="48E87ADF" w14:textId="77777777" w:rsidR="00B70B8D" w:rsidRPr="005B5164" w:rsidRDefault="00397AB8" w:rsidP="002808E4">
      <w:pPr>
        <w:spacing w:after="0" w:line="240" w:lineRule="auto"/>
        <w:ind w:left="0" w:hanging="2"/>
        <w:jc w:val="both"/>
        <w:rPr>
          <w:rFonts w:ascii="Times New Roman" w:hAnsi="Times New Roman" w:cs="Times New Roman"/>
          <w:b/>
          <w:bCs/>
          <w:sz w:val="20"/>
          <w:szCs w:val="20"/>
        </w:rPr>
      </w:pPr>
      <w:r w:rsidRPr="005B5164">
        <w:rPr>
          <w:rFonts w:ascii="Times New Roman" w:hAnsi="Times New Roman" w:cs="Times New Roman"/>
          <w:b/>
          <w:bCs/>
          <w:sz w:val="20"/>
          <w:szCs w:val="20"/>
        </w:rPr>
        <w:t>Literature Identification</w:t>
      </w:r>
    </w:p>
    <w:p w14:paraId="19BE9F3F" w14:textId="77777777" w:rsidR="00B70B8D" w:rsidRPr="005B5164" w:rsidRDefault="00397AB8" w:rsidP="002808E4">
      <w:pPr>
        <w:spacing w:after="0" w:line="240" w:lineRule="auto"/>
        <w:ind w:leftChars="0" w:firstLineChars="0" w:firstLine="270"/>
        <w:jc w:val="both"/>
        <w:rPr>
          <w:rFonts w:ascii="Times New Roman" w:hAnsi="Times New Roman" w:cs="Times New Roman"/>
          <w:sz w:val="20"/>
          <w:szCs w:val="20"/>
        </w:rPr>
      </w:pPr>
      <w:r w:rsidRPr="005B5164">
        <w:rPr>
          <w:rFonts w:ascii="Times New Roman" w:hAnsi="Times New Roman" w:cs="Times New Roman"/>
          <w:sz w:val="20"/>
          <w:szCs w:val="20"/>
        </w:rPr>
        <w:t xml:space="preserve">The literature search was based on the aim and scope of the review. As noted by IS scholars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w:instrTex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EN.CITE.DATA </w:instrTex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(for example, Baghizadeh et al., 2020; Bai et al., 2019; Bandara et al., 2015; Ferreras-Fernández et al., 2016; Schryen et al., 2017; Watson &amp; Webster, 2020)</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to review a specific subject area, a review article should be able to (1) survey and synthesize previous studies; (2) identify the relationships between key concepts; (3) identify gaps; and (4) set directions for future research. To do this, systematic literature </w:t>
      </w:r>
      <w:r w:rsidRPr="005B5164">
        <w:rPr>
          <w:rFonts w:ascii="Times New Roman" w:hAnsi="Times New Roman" w:cs="Times New Roman"/>
          <w:sz w:val="20"/>
          <w:szCs w:val="20"/>
        </w:rPr>
        <w:lastRenderedPageBreak/>
        <w:t xml:space="preserve">review process and protocol was developed as shown in </w:t>
      </w:r>
      <w:r w:rsidRPr="005B5164">
        <w:rPr>
          <w:rFonts w:ascii="Times New Roman" w:hAnsi="Times New Roman" w:cs="Times New Roman"/>
          <w:b/>
          <w:bCs/>
          <w:sz w:val="20"/>
          <w:szCs w:val="20"/>
        </w:rPr>
        <w:t>Figure 1</w:t>
      </w:r>
      <w:r w:rsidRPr="005B5164">
        <w:rPr>
          <w:rFonts w:ascii="Times New Roman" w:hAnsi="Times New Roman" w:cs="Times New Roman"/>
          <w:sz w:val="20"/>
          <w:szCs w:val="20"/>
        </w:rPr>
        <w:t xml:space="preserve">. A protocol based on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 AuthorYear="1"&gt;&lt;Author&gt;Levy&lt;/Author&gt;&lt;Year&gt;2006&lt;/Year&gt;&lt;RecNum&gt;9&lt;/RecNum&gt;&lt;DisplayText&gt;Levy and Ellis (2006)&lt;/DisplayText&gt;&lt;record&gt;&lt;rec-number&gt;9&lt;/rec-number&gt;&lt;foreign-keys&gt;&lt;key app="EN" db-id="pxvef2xskteex2edsst5fwwytrtd9fraewax" timestamp="1648795759"&gt;9&lt;/key&gt;&lt;/foreign-keys&gt;&lt;ref-type name="Journal Article"&gt;17&lt;/ref-type&gt;&lt;contributors&gt;&lt;authors&gt;&lt;author&gt;Levy, Yair&lt;/author&gt;&lt;author&gt;Ellis, Timothy J&lt;/author&gt;&lt;/authors&gt;&lt;/contributors&gt;&lt;titles&gt;&lt;title&gt;A systems approach to conduct an effective literature review in support of information systems research&lt;/title&gt;&lt;secondary-title&gt;Informing Science&lt;/secondary-title&gt;&lt;/titles&gt;&lt;volume&gt;9&lt;/volume&gt;&lt;dates&gt;&lt;year&gt;2006&lt;/year&gt;&lt;/dates&gt;&lt;isbn&gt;1521-4672&lt;/isbn&gt;&lt;urls&gt;&lt;/urls&gt;&lt;/record&gt;&lt;/Cite&gt;&lt;/EndNote&gt;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Levy and Ellis (2006)</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 AuthorYear="1"&gt;&lt;Author&gt;Bandara&lt;/Author&gt;&lt;Year&gt;2015&lt;/Year&gt;&lt;RecNum&gt;3&lt;/RecNum&gt;&lt;DisplayText&gt;Bandara et al. (2015)&lt;/DisplayText&gt;&lt;record&gt;&lt;rec-number&gt;3&lt;/rec-number&gt;&lt;foreign-keys&gt;&lt;key app="EN" db-id="pxvef2xskteex2edsst5fwwytrtd9fraewax" timestamp="1648795758"&gt;3&lt;/key&gt;&lt;/foreign-keys&gt;&lt;ref-type name="Journal Article"&gt;17&lt;/ref-type&gt;&lt;contributors&gt;&lt;authors&gt;&lt;author&gt;Bandara, Wasana&lt;/author&gt;&lt;author&gt;Furtmueller, Elfi&lt;/author&gt;&lt;author&gt;Gorbacheva, Elena&lt;/author&gt;&lt;author&gt;Miskon, Suraya&lt;/author&gt;&lt;author&gt;Beekhuyzen, Jenine&lt;/author&gt;&lt;/authors&gt;&lt;/contributors&gt;&lt;titles&gt;&lt;title&gt;Achieving rigor in literature reviews: Insights from qualitative data analysis and tool-support&lt;/title&gt;&lt;secondary-title&gt;Communications of the Association for Information systems&lt;/secondary-title&gt;&lt;/titles&gt;&lt;pages&gt;8&lt;/pages&gt;&lt;volume&gt;37&lt;/volume&gt;&lt;number&gt;1&lt;/number&gt;&lt;dates&gt;&lt;year&gt;2015&lt;/year&gt;&lt;/dates&gt;&lt;isbn&gt;1529-3181&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Bandara et al. (2015)</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and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 AuthorYear="1"&gt;&lt;Author&gt;Boell&lt;/Author&gt;&lt;Year&gt;2019&lt;/Year&gt;&lt;RecNum&gt;323&lt;/RecNum&gt;&lt;DisplayText&gt;Boell and Wang (2019)&lt;/DisplayText&gt;&lt;record&gt;&lt;rec-number&gt;323&lt;/rec-number&gt;&lt;foreign-keys&gt;&lt;key app="EN" db-id="zazt0005c02a9aeaxpdv00p7tpexrpww9r0a" timestamp="1648795938"&gt;323&lt;/key&gt;&lt;/foreign-keys&gt;&lt;ref-type name="Journal Article"&gt;17&lt;/ref-type&gt;&lt;contributors&gt;&lt;authors&gt;&lt;author&gt;Boell, Sebastian&lt;/author&gt;&lt;author&gt;Wang, Blair&lt;/author&gt;&lt;/authors&gt;&lt;/contributors&gt;&lt;titles&gt;&lt;title&gt;www. litbaskets. io, an IT Artifact Supporting Exploratory Literature Searches for Information Systems Research&lt;/title&gt;&lt;/titles&gt;&lt;dates&gt;&lt;year&gt;2019&lt;/year&gt;&lt;/dates&gt;&lt;urls&gt;&lt;/urls&gt;&lt;/record&gt;&lt;/Cite&gt;&lt;/EndNote&gt;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Boell and Wang (2019)</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was further developed, with the goal of focusing on the need for research in perception.</w:t>
      </w:r>
    </w:p>
    <w:p w14:paraId="40EFEC62" w14:textId="1D8A5199" w:rsidR="00B70B8D" w:rsidRPr="005B5164" w:rsidRDefault="00397AB8" w:rsidP="005977F2">
      <w:pPr>
        <w:spacing w:after="0" w:line="240" w:lineRule="auto"/>
        <w:ind w:leftChars="0" w:left="0" w:firstLineChars="0" w:firstLine="0"/>
        <w:jc w:val="both"/>
        <w:rPr>
          <w:rFonts w:ascii="Times New Roman" w:hAnsi="Times New Roman" w:cs="Times New Roman"/>
          <w:sz w:val="20"/>
          <w:szCs w:val="20"/>
        </w:rPr>
      </w:pPr>
      <w:r w:rsidRPr="005B5164">
        <w:rPr>
          <w:rFonts w:ascii="Times New Roman" w:hAnsi="Times New Roman" w:cs="Times New Roman"/>
          <w:sz w:val="20"/>
          <w:szCs w:val="20"/>
        </w:rPr>
        <w:t xml:space="preserve">At first, we started by identifying various service sources in which the literature was searched. These sources comprise the renowned information systems (IS) databases, journals, and conferences in the IS domain. We searched databases (e.g., Google scholar and other pertinent databases such as AISeL, </w:t>
      </w:r>
      <w:proofErr w:type="spellStart"/>
      <w:r w:rsidRPr="005B5164">
        <w:rPr>
          <w:rFonts w:ascii="Times New Roman" w:hAnsi="Times New Roman" w:cs="Times New Roman"/>
          <w:sz w:val="20"/>
          <w:szCs w:val="20"/>
        </w:rPr>
        <w:t>JStore</w:t>
      </w:r>
      <w:proofErr w:type="spellEnd"/>
      <w:r w:rsidRPr="005B5164">
        <w:rPr>
          <w:rFonts w:ascii="Times New Roman" w:hAnsi="Times New Roman" w:cs="Times New Roman"/>
          <w:sz w:val="20"/>
          <w:szCs w:val="20"/>
        </w:rPr>
        <w:t xml:space="preserve">, Springer, Web of Science, Science Direct, and Elsevier) that house vital academic IS journals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w:instrTex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EN.CITE.DATA </w:instrTex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(Lowry et al., 2013; Schryen, 2015; Schryen et al., 2017)</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Such journals were referred to as a set of top IS journals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&lt;EndNote&gt;&lt;Cite&gt;&lt;Author&gt;Lowry&lt;/Author&gt;&lt;Year&gt;2013&lt;/Year&gt;&lt;RecNum&gt;78&lt;/RecNum&gt;&lt;DisplayText&gt;(Boell &amp;amp; Wang, 2019; Lowry et al., 2013)&lt;/DisplayText&gt;&lt;record&gt;&lt;rec-number&gt;78&lt;/rec-number&gt;&lt;foreign-keys&gt;&lt;key app="EN" db-id="tfzxppfdwaavsceftwnv9ptn0ddse5v90vea" timestamp="1640724569"&gt;78&lt;/key&gt;&lt;/foreign-keys&gt;&lt;ref-type name="Journal Article"&gt;17&lt;/ref-type&gt;&lt;contributors&gt;&lt;authors&gt;&lt;author&gt;Lowry, Paul Benjamin&lt;/author&gt;&lt;author&gt;Gaskin, James&lt;/author&gt;&lt;author&gt;Humpherys, Sean L&lt;/author&gt;&lt;author&gt;Moody, Gregory D&lt;/author&gt;&lt;author&gt;Galletta, Dennis F&lt;/author&gt;&lt;author&gt;Barlow, Jordan B&lt;/author&gt;&lt;author&gt;Wilson, David W&lt;/author&gt;&lt;/authors&gt;&lt;/contributors&gt;&lt;titles&gt;&lt;title&gt;Evaluating journal quality and the association for information systems senior scholars&amp;apos; journal basket via bibliometric measures: Do expert journal assessments add value?&lt;/title&gt;&lt;secondary-title&gt;MIS quarterly&lt;/secondary-title&gt;&lt;/titles&gt;&lt;periodical&gt;&lt;full-title&gt;MIS quarterly&lt;/full-title&gt;&lt;/periodical&gt;&lt;pages&gt;993-1012&lt;/pages&gt;&lt;dates&gt;&lt;year&gt;2013&lt;/year&gt;&lt;/dates&gt;&lt;isbn&gt;0276-7783&lt;/isbn&gt;&lt;urls&gt;&lt;/urls&gt;&lt;/record&gt;&lt;/Cite&gt;&lt;Cite&gt;&lt;Author&gt;Boell&lt;/Author&gt;&lt;Year&gt;2019&lt;/Year&gt;&lt;RecNum&gt;323&lt;/RecNum&gt;&lt;record&gt;&lt;rec-number&gt;323&lt;/rec-number&gt;&lt;foreign-keys&gt;&lt;key app="EN" db-id="zazt0005c02a9aeaxpdv00p7tpexrpww9r0a" timestamp="1648795938"&gt;323&lt;/key&gt;&lt;/foreign-keys&gt;&lt;ref-type name="Journal Article"&gt;17&lt;/ref-type&gt;&lt;contributors&gt;&lt;authors&gt;&lt;author&gt;Boell, Sebastian&lt;/author&gt;&lt;author&gt;Wang, Blair&lt;/author&gt;&lt;/authors&gt;&lt;/contributors&gt;&lt;titles&gt;&lt;title&gt;www. litbaskets. io, an IT Artifact Supporting Exploratory Literature Searches for Information Systems Research&lt;/title&gt;&lt;/titles&gt;&lt;dates&gt;&lt;year&gt;2019&lt;/year&gt;&lt;/dates&gt;&lt;urls&gt;&lt;/urls&gt;&lt;/record&gt;&lt;/Cite&gt;&lt;/EndNote&gt;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(Boell &amp; Wang, 2019; Lowry et al., 2013)</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Moreover, we leverage service from the association of information systems for electronic library (AISeL) in order to capture recent studies from reputable conference proceedings such as the AMCIS, PACIS),</w:t>
      </w:r>
      <w:r w:rsidR="00A45C84" w:rsidRPr="005B5164">
        <w:rPr>
          <w:rFonts w:ascii="Times New Roman" w:hAnsi="Times New Roman" w:cs="Times New Roman"/>
          <w:sz w:val="20"/>
          <w:szCs w:val="20"/>
        </w:rPr>
        <w:t xml:space="preserve"> </w:t>
      </w:r>
      <w:r w:rsidRPr="005B5164">
        <w:rPr>
          <w:rFonts w:ascii="Times New Roman" w:hAnsi="Times New Roman" w:cs="Times New Roman"/>
          <w:sz w:val="20"/>
          <w:szCs w:val="20"/>
        </w:rPr>
        <w:t>IFIP, and other relevant information systems conferences, and Literature Baskets (</w:t>
      </w:r>
      <w:hyperlink r:id="rId13" w:history="1">
        <w:r w:rsidRPr="005B5164">
          <w:rPr>
            <w:rStyle w:val="Hyperlink"/>
            <w:rFonts w:ascii="Times New Roman" w:hAnsi="Times New Roman" w:cs="Times New Roman"/>
            <w:sz w:val="20"/>
            <w:szCs w:val="20"/>
          </w:rPr>
          <w:t>www.litbasket.io</w:t>
        </w:r>
      </w:hyperlink>
      <w:r w:rsidRPr="005B5164">
        <w:rPr>
          <w:rStyle w:val="Hyperlink"/>
          <w:rFonts w:ascii="Times New Roman" w:hAnsi="Times New Roman" w:cs="Times New Roman"/>
          <w:sz w:val="20"/>
          <w:szCs w:val="20"/>
        </w:rPr>
        <w:t>)</w:t>
      </w:r>
      <w:r w:rsidRPr="005B5164">
        <w:rPr>
          <w:rFonts w:ascii="Times New Roman" w:hAnsi="Times New Roman" w:cs="Times New Roman"/>
          <w:sz w:val="20"/>
          <w:szCs w:val="20"/>
        </w:rPr>
        <w:t xml:space="preserve">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&lt;EndNote&gt;&lt;Cite&gt;&lt;Author&gt;Boell&lt;/Author&gt;&lt;Year&gt;2019&lt;/Year&gt;&lt;RecNum&gt;323&lt;/RecNum&gt;&lt;DisplayText&gt;(Boell &amp;amp; Wang, 2019)&lt;/DisplayText&gt;&lt;record&gt;&lt;rec-number&gt;323&lt;/rec-number&gt;&lt;foreign-keys&gt;&lt;key app="EN" db-id="zazt0005c02a9aeaxpdv00p7tpexrpww9r0a" timestamp="1648795938"&gt;323&lt;/key&gt;&lt;/foreign-keys&gt;&lt;ref-type name="Journal Article"&gt;17&lt;/ref-type&gt;&lt;contributors&gt;&lt;authors&gt;&lt;author&gt;Boell, Sebastian&lt;/author&gt;&lt;author&gt;Wang, Blair&lt;/author&gt;&lt;/authors&gt;&lt;/contributors&gt;&lt;titles&gt;&lt;title&gt;www. litbaskets. io, an IT Artifact Supporting Exploratory Literature Searches for Information Systems Research&lt;/title&gt;&lt;/titles&gt;&lt;dates&gt;&lt;year&gt;2019&lt;/year&gt;&lt;/dates&gt;&lt;urls&gt;&lt;/urls&gt;&lt;/record&gt;&lt;/Cite&gt;&lt;/EndNote&gt;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(Boell &amp; Wang, 2019)</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Moreover, educational information systems journals were also searched</w:t>
      </w:r>
      <w:r w:rsidR="00A45C84">
        <w:rPr>
          <w:rFonts w:ascii="Times New Roman" w:hAnsi="Times New Roman" w:cs="Times New Roman"/>
          <w:sz w:val="20"/>
          <w:szCs w:val="20"/>
        </w:rPr>
        <w:t xml:space="preserve"> as the </w:t>
      </w:r>
      <w:r w:rsidRPr="005B5164">
        <w:rPr>
          <w:rFonts w:ascii="Times New Roman" w:hAnsi="Times New Roman" w:cs="Times New Roman"/>
          <w:sz w:val="20"/>
          <w:szCs w:val="20"/>
        </w:rPr>
        <w:t xml:space="preserve">most frequently used databases, especially in information systems studies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w:instrTex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EN.CITE.DATA </w:instrTex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(Ajah &amp; Ononiwu, 2021; Boell &amp; Wang, 2019; Inuwa et al., 2020; Lowry et al., 2013)</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w:t>
      </w:r>
    </w:p>
    <w:p w14:paraId="4F4C43CB" w14:textId="32392A10" w:rsidR="00B70B8D" w:rsidRPr="005B5164" w:rsidRDefault="00397AB8" w:rsidP="002808E4">
      <w:pPr>
        <w:spacing w:after="0" w:line="240" w:lineRule="auto"/>
        <w:ind w:leftChars="0" w:left="0" w:firstLineChars="0" w:firstLine="270"/>
        <w:jc w:val="both"/>
        <w:rPr>
          <w:rFonts w:ascii="Times New Roman" w:hAnsi="Times New Roman" w:cs="Times New Roman"/>
          <w:sz w:val="20"/>
          <w:szCs w:val="20"/>
        </w:rPr>
      </w:pPr>
      <w:r w:rsidRPr="005B5164">
        <w:rPr>
          <w:rFonts w:ascii="Times New Roman" w:hAnsi="Times New Roman" w:cs="Times New Roman"/>
          <w:sz w:val="20"/>
          <w:szCs w:val="20"/>
        </w:rPr>
        <w:t>Second, the search terms in the process include: (Affordances) OR (Information Systems Affordance) OR (Information Technology Affordance) OR (Information Communication Technology Affordance) OR (Digital Affordance) OR (Technology Affordance) OR (E-learning Affordance) OR (Online Learning Affordance) OR (Mobile Learning Affordance) OR (Mobile Learning Affordance) OR (Learning Management System Affordance) OR (Educational Technology Affordance). Preliminary relevance was determined for each manuscript title. From the title, if the content seemed to discuss any of the search keywords, we obtained its full reference, including author, year, title, and abstract, for further evaluation. Despite the technological advancement and the methods of information archiving and retrieval, we searched for studies that were published between 2012</w:t>
      </w:r>
      <w:r w:rsidRPr="005B5164">
        <w:rPr>
          <w:rFonts w:ascii="Times New Roman" w:hAnsi="Times New Roman" w:cs="Times New Roman"/>
          <w:sz w:val="20"/>
          <w:szCs w:val="20"/>
        </w:rPr>
        <w:noBreakHyphen/>
        <w:t xml:space="preserve">2022 (articles published for one decade), so that we could build our review on the recent literatures considering information retrieval and synthesis in the digital age. In all, 332 studies that matched the search keywords were found across the searched journals and conferences, and they were all moved to EndNote library </w:t>
      </w:r>
      <w:r w:rsidRPr="005B5164">
        <w:rPr>
          <w:rFonts w:ascii="Times New Roman" w:hAnsi="Times New Roman" w:cs="Times New Roman"/>
          <w:sz w:val="20"/>
          <w:szCs w:val="20"/>
          <w:vertAlign w:val="superscript"/>
        </w:rPr>
        <w:t>TH</w:t>
      </w:r>
      <w:r w:rsidRPr="005B5164">
        <w:rPr>
          <w:rFonts w:ascii="Times New Roman" w:hAnsi="Times New Roman" w:cs="Times New Roman"/>
          <w:sz w:val="20"/>
          <w:szCs w:val="20"/>
        </w:rPr>
        <w:t>20 in order to ascertain whether the stud</w:t>
      </w:r>
      <w:r w:rsidR="00A45C84">
        <w:rPr>
          <w:rFonts w:ascii="Times New Roman" w:hAnsi="Times New Roman" w:cs="Times New Roman"/>
          <w:sz w:val="20"/>
          <w:szCs w:val="20"/>
        </w:rPr>
        <w:t>ies should be included or</w:t>
      </w:r>
      <w:r w:rsidRPr="005B5164">
        <w:rPr>
          <w:rFonts w:ascii="Times New Roman" w:hAnsi="Times New Roman" w:cs="Times New Roman"/>
          <w:sz w:val="20"/>
          <w:szCs w:val="20"/>
        </w:rPr>
        <w:t xml:space="preserve"> not. Although, </w:t>
      </w:r>
      <w:r w:rsidR="00A45C84">
        <w:rPr>
          <w:rFonts w:ascii="Times New Roman" w:hAnsi="Times New Roman" w:cs="Times New Roman"/>
          <w:sz w:val="20"/>
          <w:szCs w:val="20"/>
        </w:rPr>
        <w:t xml:space="preserve">the </w:t>
      </w:r>
      <w:r w:rsidRPr="005B5164">
        <w:rPr>
          <w:rFonts w:ascii="Times New Roman" w:hAnsi="Times New Roman" w:cs="Times New Roman"/>
          <w:sz w:val="20"/>
          <w:szCs w:val="20"/>
        </w:rPr>
        <w:t xml:space="preserve">search has covered the pertinent academic IS journals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&lt;EndNote&gt;&lt;Cite&gt;&lt;Author&gt;Lowry&lt;/Author&gt;&lt;Year&gt;2013&lt;/Year&gt;&lt;RecNum&gt;78&lt;/RecNum&gt;&lt;DisplayText&gt;(Lowry et al., 2013; Merriam, 2015)&lt;/DisplayText&gt;&lt;record&gt;&lt;rec-number&gt;78&lt;/rec-number&gt;&lt;foreign-keys&gt;&lt;key app="EN" db-id="tfzxppfdwaavsceftwnv9ptn0ddse5v90vea" timestamp="1640724569"&gt;78&lt;/key&gt;&lt;/foreign-keys&gt;&lt;ref-type name="Journal Article"&gt;17&lt;/ref-type&gt;&lt;contributors&gt;&lt;authors&gt;&lt;author&gt;Lowry, Paul Benjamin&lt;/author&gt;&lt;author&gt;Gaskin, James&lt;/author&gt;&lt;author&gt;Humpherys, Sean L&lt;/author&gt;&lt;author&gt;Moody, Gregory D&lt;/author&gt;&lt;author&gt;Galletta, Dennis F&lt;/author&gt;&lt;author&gt;Barlow, Jordan B&lt;/author&gt;&lt;author&gt;Wilson, David W&lt;/author&gt;&lt;/authors&gt;&lt;/contributors&gt;&lt;titles&gt;&lt;title&gt;Evaluating journal quality and the association for information systems senior scholars&amp;apos; journal basket via bibliometric measures: Do expert journal assessments add value?&lt;/title&gt;&lt;secondary-title&gt;MIS quarterly&lt;/secondary-title&gt;&lt;/titles&gt;&lt;periodical&gt;&lt;full-title&gt;MIS quarterly&lt;/full-title&gt;&lt;/periodical&gt;&lt;pages&gt;993-1012&lt;/pages&gt;&lt;dates&gt;&lt;year&gt;2013&lt;/year&gt;&lt;/dates&gt;&lt;isbn&gt;0276-7783&lt;/isbn&gt;&lt;urls&gt;&lt;/urls&gt;&lt;/record&gt;&lt;/Cite&gt;&lt;Cite&gt;&lt;Author&gt;Merriam&lt;/Author&gt;&lt;Year&gt;2015&lt;/Year&gt;&lt;RecNum&gt;3044&lt;/RecNum&gt;&lt;record&gt;&lt;rec-number&gt;3044&lt;/rec-number&gt;&lt;foreign-keys&gt;&lt;key app="EN" db-id="zazt0005c02a9aeaxpdv00p7tpexrpww9r0a" timestamp="1665515826"&gt;3044&lt;/key&gt;&lt;/foreign-keys&gt;&lt;ref-type name="Book Section"&gt;5&lt;/ref-type&gt;&lt;contributors&gt;&lt;authors&gt;&lt;author&gt;Merriam, Sharan B&lt;/author&gt;&lt;/authors&gt;&lt;/contributors&gt;&lt;titles&gt;&lt;title&gt;Qualitative research: Designing, implementing, and publishing a study&lt;/title&gt;&lt;secondary-title&gt;Handbook of research on scholarly publishing and research methods&lt;/secondary-title&gt;&lt;/titles&gt;&lt;pages&gt;125-140&lt;/pages&gt;&lt;dates&gt;&lt;year&gt;2015&lt;/year&gt;&lt;/dates&gt;&lt;publisher&gt;IGI Global&lt;/publisher&gt;&lt;urls&gt;&lt;/urls&gt;&lt;/record&gt;&lt;/Cite&gt;&lt;/EndNote&gt;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(Lowry et al., 2013; Merriam, 2015)</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we can argue that such a literature search was comprehensive enough to capture the most recent and relevant studies for the review.</w:t>
      </w:r>
    </w:p>
    <w:p w14:paraId="406BD444" w14:textId="560F706B" w:rsidR="005B5164" w:rsidRPr="005977F2" w:rsidRDefault="00397AB8" w:rsidP="002808E4">
      <w:pPr>
        <w:spacing w:after="0" w:line="240" w:lineRule="auto"/>
        <w:ind w:leftChars="0" w:left="0" w:firstLineChars="0" w:firstLine="270"/>
        <w:jc w:val="both"/>
        <w:rPr>
          <w:rFonts w:ascii="Times New Roman" w:hAnsi="Times New Roman" w:cs="Times New Roman"/>
          <w:sz w:val="20"/>
          <w:szCs w:val="20"/>
        </w:rPr>
      </w:pPr>
      <w:r w:rsidRPr="005B5164">
        <w:rPr>
          <w:rFonts w:ascii="Times New Roman" w:hAnsi="Times New Roman" w:cs="Times New Roman"/>
          <w:sz w:val="20"/>
          <w:szCs w:val="20"/>
        </w:rPr>
        <w:t>In the last stage of the protocol (</w:t>
      </w:r>
      <w:r w:rsidRPr="005B5164">
        <w:rPr>
          <w:rFonts w:ascii="Times New Roman" w:hAnsi="Times New Roman" w:cs="Times New Roman"/>
          <w:b/>
          <w:bCs/>
          <w:sz w:val="20"/>
          <w:szCs w:val="20"/>
        </w:rPr>
        <w:t>i.e., 3</w:t>
      </w:r>
      <w:r w:rsidRPr="005B5164">
        <w:rPr>
          <w:rFonts w:ascii="Times New Roman" w:hAnsi="Times New Roman" w:cs="Times New Roman"/>
          <w:b/>
          <w:bCs/>
          <w:sz w:val="20"/>
          <w:szCs w:val="20"/>
          <w:vertAlign w:val="superscript"/>
        </w:rPr>
        <w:t>rd</w:t>
      </w:r>
      <w:r w:rsidRPr="005B5164">
        <w:rPr>
          <w:rFonts w:ascii="Times New Roman" w:hAnsi="Times New Roman" w:cs="Times New Roman"/>
          <w:b/>
          <w:bCs/>
          <w:sz w:val="20"/>
          <w:szCs w:val="20"/>
        </w:rPr>
        <w:t xml:space="preserve"> Phase: Output; Figure 1</w:t>
      </w:r>
      <w:r w:rsidRPr="005B5164">
        <w:rPr>
          <w:rFonts w:ascii="Times New Roman" w:hAnsi="Times New Roman" w:cs="Times New Roman"/>
          <w:sz w:val="20"/>
          <w:szCs w:val="20"/>
        </w:rPr>
        <w:t>), the writing of the literature kick</w:t>
      </w:r>
      <w:r w:rsidRPr="005B5164">
        <w:rPr>
          <w:rFonts w:ascii="Times New Roman" w:hAnsi="Times New Roman" w:cs="Times New Roman"/>
          <w:sz w:val="20"/>
          <w:szCs w:val="20"/>
        </w:rPr>
        <w:noBreakHyphen/>
        <w:t>start through answering the research questions set for the study as well as setting future direction. To answer the research questions in this study, all the obtained articles were screened using inclusion and exclusion criteria based on certain procedures. These processes are described in the following sections</w:t>
      </w:r>
      <w:r w:rsidR="005977F2">
        <w:rPr>
          <w:rFonts w:ascii="Times New Roman" w:hAnsi="Times New Roman" w:cs="Times New Roman"/>
          <w:sz w:val="20"/>
          <w:szCs w:val="20"/>
        </w:rPr>
        <w:t>.</w:t>
      </w:r>
    </w:p>
    <w:p w14:paraId="723D6600" w14:textId="549A5997" w:rsidR="00B70B8D" w:rsidRPr="005B5164" w:rsidRDefault="00397AB8" w:rsidP="005977F2">
      <w:pPr>
        <w:spacing w:after="0" w:line="240" w:lineRule="auto"/>
        <w:ind w:leftChars="0" w:left="0" w:firstLineChars="0" w:firstLine="0"/>
        <w:jc w:val="both"/>
        <w:rPr>
          <w:rFonts w:ascii="Times New Roman" w:hAnsi="Times New Roman" w:cs="Times New Roman"/>
          <w:b/>
          <w:bCs/>
          <w:sz w:val="20"/>
          <w:szCs w:val="20"/>
        </w:rPr>
      </w:pPr>
      <w:r w:rsidRPr="005B5164">
        <w:rPr>
          <w:rFonts w:ascii="Times New Roman" w:hAnsi="Times New Roman" w:cs="Times New Roman"/>
          <w:b/>
          <w:bCs/>
          <w:sz w:val="20"/>
          <w:szCs w:val="20"/>
        </w:rPr>
        <w:t>Screening for Inclusion and Exclusion Procedures</w:t>
      </w:r>
    </w:p>
    <w:p w14:paraId="387EFA59" w14:textId="460F8124" w:rsidR="00B70B8D" w:rsidRPr="005B5164" w:rsidRDefault="00397AB8" w:rsidP="002808E4">
      <w:pPr>
        <w:spacing w:after="0" w:line="240" w:lineRule="auto"/>
        <w:ind w:leftChars="0" w:left="0" w:firstLineChars="0" w:firstLine="270"/>
        <w:jc w:val="both"/>
        <w:rPr>
          <w:rFonts w:ascii="Times New Roman" w:hAnsi="Times New Roman" w:cs="Times New Roman"/>
          <w:sz w:val="20"/>
          <w:szCs w:val="20"/>
        </w:rPr>
      </w:pPr>
      <w:r w:rsidRPr="005B5164">
        <w:rPr>
          <w:rFonts w:ascii="Times New Roman" w:hAnsi="Times New Roman" w:cs="Times New Roman"/>
          <w:sz w:val="20"/>
          <w:szCs w:val="20"/>
        </w:rPr>
        <w:t xml:space="preserve">It appeared that 321 studies were obtained as a result of the search terms, and the papers were archived in EndNote library </w:t>
      </w:r>
      <w:r w:rsidRPr="005B5164">
        <w:rPr>
          <w:rFonts w:ascii="Times New Roman" w:hAnsi="Times New Roman" w:cs="Times New Roman"/>
          <w:sz w:val="20"/>
          <w:szCs w:val="20"/>
          <w:vertAlign w:val="superscript"/>
        </w:rPr>
        <w:t>TH</w:t>
      </w:r>
      <w:r w:rsidRPr="005B5164">
        <w:rPr>
          <w:rFonts w:ascii="Times New Roman" w:hAnsi="Times New Roman" w:cs="Times New Roman"/>
          <w:sz w:val="20"/>
          <w:szCs w:val="20"/>
        </w:rPr>
        <w:t xml:space="preserve">20. Each of the 321 studies was analyzed to ascertain whether it conformed </w:t>
      </w:r>
      <w:r w:rsidR="00A45C84" w:rsidRPr="005B5164">
        <w:rPr>
          <w:rFonts w:ascii="Times New Roman" w:hAnsi="Times New Roman" w:cs="Times New Roman"/>
          <w:sz w:val="20"/>
          <w:szCs w:val="20"/>
        </w:rPr>
        <w:t>to</w:t>
      </w:r>
      <w:r w:rsidRPr="005B5164">
        <w:rPr>
          <w:rFonts w:ascii="Times New Roman" w:hAnsi="Times New Roman" w:cs="Times New Roman"/>
          <w:sz w:val="20"/>
          <w:szCs w:val="20"/>
        </w:rPr>
        <w:t xml:space="preserve"> the aim of the study as well as the inclusion and exclusion criteria. These inclusion and exclusion criteria are: (1) Does the study clearly define concepts and the relationship among such concepts? (2) Are there specifications of concepts moderating the relationships amongst concepts? If not, can we use the moderators to infer concepts in operations by the researchers? (3) Is the study guided by a theory or theories to identify concepts? (4) Papers must be written in English. (5) A clear methodology and findings must be included, and (6) Are conceptual papers related to the phenomenon in question? We first read the abstracts of the 321 studies to further decide their relevance to the phenomenon under study, “Digital Technology Affordance for Epistemological Access,” and we found that 58 studies were deemed relevant, and we obtained the full</w:t>
      </w:r>
      <w:r w:rsidRPr="005B5164">
        <w:rPr>
          <w:rFonts w:ascii="Times New Roman" w:hAnsi="Times New Roman" w:cs="Times New Roman"/>
          <w:sz w:val="20"/>
          <w:szCs w:val="20"/>
        </w:rPr>
        <w:noBreakHyphen/>
        <w:t>text article for quality assessment.</w:t>
      </w:r>
    </w:p>
    <w:p w14:paraId="7A56F4FB" w14:textId="77777777" w:rsidR="00B70B8D" w:rsidRPr="005B5164" w:rsidRDefault="00397AB8" w:rsidP="005977F2">
      <w:pPr>
        <w:spacing w:after="0" w:line="240" w:lineRule="auto"/>
        <w:ind w:leftChars="0" w:left="0" w:firstLineChars="0" w:firstLine="0"/>
        <w:jc w:val="both"/>
        <w:rPr>
          <w:rFonts w:ascii="Times New Roman" w:hAnsi="Times New Roman" w:cs="Times New Roman"/>
          <w:sz w:val="20"/>
          <w:szCs w:val="20"/>
        </w:rPr>
      </w:pPr>
      <w:r w:rsidRPr="005B5164">
        <w:rPr>
          <w:rFonts w:ascii="Times New Roman" w:hAnsi="Times New Roman" w:cs="Times New Roman"/>
          <w:sz w:val="20"/>
          <w:szCs w:val="20"/>
        </w:rPr>
        <w:t>We further skimmed through the full</w:t>
      </w:r>
      <w:r w:rsidRPr="005B5164">
        <w:rPr>
          <w:rFonts w:ascii="Times New Roman" w:hAnsi="Times New Roman" w:cs="Times New Roman"/>
          <w:sz w:val="20"/>
          <w:szCs w:val="20"/>
        </w:rPr>
        <w:noBreakHyphen/>
        <w:t>text articles to further evaluate the quality and eligibility of the studies. We deemed journal articles, conference papers, and books published by reputable publishers as high</w:t>
      </w:r>
      <w:r w:rsidRPr="005B5164">
        <w:rPr>
          <w:rFonts w:ascii="Times New Roman" w:hAnsi="Times New Roman" w:cs="Times New Roman"/>
          <w:sz w:val="20"/>
          <w:szCs w:val="20"/>
        </w:rPr>
        <w:noBreakHyphen/>
        <w:t>quality research and, therefore, included in the review. Most of the anecdotal and technical reports as well as online presentations are excluded from the review because of the lack of a peer</w:t>
      </w:r>
      <w:r w:rsidRPr="005B5164">
        <w:rPr>
          <w:rFonts w:ascii="Times New Roman" w:hAnsi="Times New Roman" w:cs="Times New Roman"/>
          <w:sz w:val="20"/>
          <w:szCs w:val="20"/>
        </w:rPr>
        <w:noBreakHyphen/>
        <w:t>review process.</w:t>
      </w:r>
    </w:p>
    <w:p w14:paraId="75013A6A" w14:textId="77777777" w:rsidR="00B70B8D" w:rsidRPr="005B5164" w:rsidRDefault="00397AB8" w:rsidP="005977F2">
      <w:pPr>
        <w:spacing w:after="0" w:line="240" w:lineRule="auto"/>
        <w:ind w:leftChars="0" w:left="0" w:firstLineChars="0" w:firstLine="0"/>
        <w:jc w:val="both"/>
        <w:rPr>
          <w:rFonts w:ascii="Times New Roman" w:hAnsi="Times New Roman" w:cs="Times New Roman"/>
          <w:sz w:val="20"/>
          <w:szCs w:val="20"/>
        </w:rPr>
      </w:pPr>
      <w:r w:rsidRPr="005B5164">
        <w:rPr>
          <w:rFonts w:ascii="Times New Roman" w:hAnsi="Times New Roman" w:cs="Times New Roman"/>
          <w:b/>
          <w:bCs/>
          <w:sz w:val="20"/>
          <w:szCs w:val="20"/>
        </w:rPr>
        <w:t>Snowballing</w:t>
      </w:r>
    </w:p>
    <w:p w14:paraId="4B2AF0D0" w14:textId="77777777" w:rsidR="00B70B8D" w:rsidRDefault="00397AB8" w:rsidP="002808E4">
      <w:pPr>
        <w:spacing w:after="0" w:line="240" w:lineRule="auto"/>
        <w:ind w:leftChars="0" w:left="0" w:firstLineChars="0" w:firstLine="270"/>
        <w:jc w:val="both"/>
        <w:rPr>
          <w:rFonts w:ascii="Times New Roman" w:hAnsi="Times New Roman" w:cs="Times New Roman"/>
          <w:sz w:val="20"/>
          <w:szCs w:val="20"/>
        </w:rPr>
      </w:pPr>
      <w:r w:rsidRPr="005B5164">
        <w:rPr>
          <w:rFonts w:ascii="Times New Roman" w:hAnsi="Times New Roman" w:cs="Times New Roman"/>
          <w:sz w:val="20"/>
          <w:szCs w:val="20"/>
        </w:rPr>
        <w:t>We identified eleven (11) additional studies through backward and forward searching. We also utilized the forward and backward search to identify different affordance</w:t>
      </w:r>
      <w:r w:rsidRPr="005B5164">
        <w:rPr>
          <w:rFonts w:ascii="Times New Roman" w:hAnsi="Times New Roman" w:cs="Times New Roman"/>
          <w:sz w:val="20"/>
          <w:szCs w:val="20"/>
        </w:rPr>
        <w:noBreakHyphen/>
        <w:t>related issues in higher education institutions. Once the article established affordance, or digital technology affordance, we identified best</w:t>
      </w:r>
      <w:r w:rsidRPr="005B5164">
        <w:rPr>
          <w:rFonts w:ascii="Times New Roman" w:hAnsi="Times New Roman" w:cs="Times New Roman"/>
          <w:sz w:val="20"/>
          <w:szCs w:val="20"/>
        </w:rPr>
        <w:noBreakHyphen/>
        <w:t xml:space="preserve">practice examples by searching articles that had referenced the information systems paper. Examples were chosen based on their adherence to the method, after which preference was given to educationally related articles. Overall, 69 studies were included in this review, as shown in the second phase of </w:t>
      </w:r>
      <w:r w:rsidRPr="005B5164">
        <w:rPr>
          <w:rFonts w:ascii="Times New Roman" w:hAnsi="Times New Roman" w:cs="Times New Roman"/>
          <w:b/>
          <w:bCs/>
          <w:sz w:val="20"/>
          <w:szCs w:val="20"/>
        </w:rPr>
        <w:t>Figure 1</w:t>
      </w:r>
      <w:r w:rsidRPr="005B5164">
        <w:rPr>
          <w:rFonts w:ascii="Times New Roman" w:hAnsi="Times New Roman" w:cs="Times New Roman"/>
          <w:sz w:val="20"/>
          <w:szCs w:val="20"/>
        </w:rPr>
        <w:t>.</w:t>
      </w:r>
    </w:p>
    <w:p w14:paraId="3B86304D" w14:textId="361121D8" w:rsidR="005B5164" w:rsidRPr="005B5164" w:rsidRDefault="005B5164" w:rsidP="005977F2">
      <w:pPr>
        <w:spacing w:after="0" w:line="240" w:lineRule="auto"/>
        <w:ind w:leftChars="0" w:left="0" w:firstLineChars="0" w:firstLine="0"/>
        <w:jc w:val="both"/>
        <w:rPr>
          <w:rFonts w:ascii="Times New Roman" w:hAnsi="Times New Roman" w:cs="Times New Roman"/>
          <w:sz w:val="20"/>
          <w:szCs w:val="20"/>
        </w:rPr>
      </w:pPr>
      <w:r w:rsidRPr="005B5164">
        <w:rPr>
          <w:rFonts w:ascii="Times New Roman" w:hAnsi="Times New Roman" w:cs="Times New Roman"/>
          <w:noProof/>
          <w:sz w:val="20"/>
          <w:szCs w:val="20"/>
        </w:rPr>
        <w:lastRenderedPageBreak/>
        <w:drawing>
          <wp:inline distT="0" distB="0" distL="0" distR="0" wp14:anchorId="4A4C25B9" wp14:editId="0FFB05AF">
            <wp:extent cx="5829300" cy="2948573"/>
            <wp:effectExtent l="0" t="0" r="0" b="4445"/>
            <wp:docPr id="102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pic:cNvPicPr/>
                  </pic:nvPicPr>
                  <pic:blipFill rotWithShape="1">
                    <a:blip r:embed="rId14" cstate="print">
                      <a:extLst>
                        <a:ext uri="{28A0092B-C50C-407E-A947-70E740481C1C}">
                          <a14:useLocalDpi xmlns:a14="http://schemas.microsoft.com/office/drawing/2010/main" val="0"/>
                        </a:ext>
                      </a:extLst>
                    </a:blip>
                    <a:srcRect l="10559" t="21051" r="11840" b="11901"/>
                    <a:stretch>
                      <a:fillRect/>
                    </a:stretch>
                  </pic:blipFill>
                  <pic:spPr>
                    <a:xfrm>
                      <a:off x="0" y="0"/>
                      <a:ext cx="5882031" cy="2975245"/>
                    </a:xfrm>
                    <a:prstGeom prst="rect">
                      <a:avLst/>
                    </a:prstGeom>
                  </pic:spPr>
                </pic:pic>
              </a:graphicData>
            </a:graphic>
          </wp:inline>
        </w:drawing>
      </w:r>
    </w:p>
    <w:p w14:paraId="4CB86B54" w14:textId="77777777" w:rsidR="00B70B8D" w:rsidRPr="005B5164" w:rsidRDefault="00397AB8" w:rsidP="005977F2">
      <w:pPr>
        <w:spacing w:after="0" w:line="240" w:lineRule="auto"/>
        <w:ind w:leftChars="0" w:left="0" w:firstLineChars="0" w:firstLine="0"/>
        <w:jc w:val="center"/>
        <w:rPr>
          <w:rFonts w:ascii="Times New Roman" w:hAnsi="Times New Roman" w:cs="Times New Roman"/>
          <w:b/>
          <w:bCs/>
          <w:sz w:val="20"/>
          <w:szCs w:val="20"/>
        </w:rPr>
      </w:pPr>
      <w:r w:rsidRPr="005B5164">
        <w:rPr>
          <w:rFonts w:ascii="Times New Roman" w:hAnsi="Times New Roman" w:cs="Times New Roman"/>
          <w:b/>
          <w:bCs/>
          <w:sz w:val="20"/>
          <w:szCs w:val="20"/>
        </w:rPr>
        <w:t>Figure 1: Systematic Literature Review Process</w:t>
      </w:r>
    </w:p>
    <w:p w14:paraId="59FA5280" w14:textId="77777777" w:rsidR="00B70B8D" w:rsidRPr="005B5164" w:rsidRDefault="00397AB8" w:rsidP="005977F2">
      <w:pPr>
        <w:spacing w:after="0" w:line="240" w:lineRule="auto"/>
        <w:ind w:leftChars="0" w:left="0" w:firstLineChars="0" w:firstLine="0"/>
        <w:jc w:val="both"/>
        <w:rPr>
          <w:rFonts w:ascii="Times New Roman" w:hAnsi="Times New Roman" w:cs="Times New Roman"/>
          <w:sz w:val="20"/>
          <w:szCs w:val="20"/>
        </w:rPr>
      </w:pPr>
      <w:r w:rsidRPr="005B5164">
        <w:rPr>
          <w:rFonts w:ascii="Times New Roman" w:hAnsi="Times New Roman" w:cs="Times New Roman"/>
          <w:sz w:val="20"/>
          <w:szCs w:val="20"/>
        </w:rPr>
        <w:t xml:space="preserve">A concept-centric approach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&lt;EndNote&gt;&lt;Cite&gt;&lt;Author&gt;Webster&lt;/Author&gt;&lt;Year&gt;2002&lt;/Year&gt;&lt;RecNum&gt;2738&lt;/RecNum&gt;&lt;DisplayText&gt;(Webster &amp;amp; Watson, 2002)&lt;/DisplayText&gt;&lt;record&gt;&lt;rec-number&gt;2738&lt;/rec-number&gt;&lt;foreign-keys&gt;&lt;key app="EN" db-id="zazt0005c02a9aeaxpdv00p7tpexrpww9r0a" timestamp="1655104507"&gt;2738&lt;/key&gt;&lt;/foreign-keys&gt;&lt;ref-type name="Journal Article"&gt;17&lt;/ref-type&gt;&lt;contributors&gt;&lt;authors&gt;&lt;author&gt;Webster, Jane&lt;/author&gt;&lt;author&gt;Watson, Richard T&lt;/author&gt;&lt;/authors&gt;&lt;/contributors&gt;&lt;titles&gt;&lt;title&gt;Analyzing the past to prepare for the future: Writing a literature review&lt;/title&gt;&lt;secondary-title&gt;MIS quarterly&lt;/secondary-title&gt;&lt;/titles&gt;&lt;periodical&gt;&lt;full-title&gt;MIS Quarterly&lt;/full-title&gt;&lt;/periodical&gt;&lt;pages&gt;xiii-xxiii&lt;/pages&gt;&lt;dates&gt;&lt;year&gt;2002&lt;/year&gt;&lt;/dates&gt;&lt;isbn&gt;0276-7783&lt;/isbn&gt;&lt;urls&gt;&lt;/urls&gt;&lt;/record&gt;&lt;/Cite&gt;&lt;/EndNote&gt;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(Webster &amp; Watson, 2002)</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was used in this study to extract theoretical concepts from each of the 69 studies, which were further arranged as concept matrixes of digital technology affordance for epistemological access, as shown in </w:t>
      </w:r>
      <w:r w:rsidRPr="005B5164">
        <w:rPr>
          <w:rFonts w:ascii="Times New Roman" w:hAnsi="Times New Roman" w:cs="Times New Roman"/>
          <w:b/>
          <w:bCs/>
          <w:sz w:val="20"/>
          <w:szCs w:val="20"/>
        </w:rPr>
        <w:t>Table 1.</w:t>
      </w:r>
      <w:r w:rsidRPr="005B5164">
        <w:rPr>
          <w:rFonts w:ascii="Times New Roman" w:hAnsi="Times New Roman" w:cs="Times New Roman"/>
          <w:sz w:val="20"/>
          <w:szCs w:val="20"/>
        </w:rPr>
        <w:t xml:space="preserve"> Moreover, concepts that are similar, which have sometimes had different semantic senses but with commensurable functional meanings from different studies, were merged as one concept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&lt;EndNote&gt;&lt;Cite&gt;&lt;Author&gt;Templier&lt;/Author&gt;&lt;Year&gt;2018&lt;/Year&gt;&lt;RecNum&gt;2739&lt;/RecNum&gt;&lt;DisplayText&gt;(Templier &amp;amp; Pare, 2018)&lt;/DisplayText&gt;&lt;record&gt;&lt;rec-number&gt;2739&lt;/rec-number&gt;&lt;foreign-keys&gt;&lt;key app="EN" db-id="zazt0005c02a9aeaxpdv00p7tpexrpww9r0a" timestamp="1655104988"&gt;2739&lt;/key&gt;&lt;/foreign-keys&gt;&lt;ref-type name="Journal Article"&gt;17&lt;/ref-type&gt;&lt;contributors&gt;&lt;authors&gt;&lt;author&gt;Templier, Mathieu&lt;/author&gt;&lt;author&gt;Pare, Guy&lt;/author&gt;&lt;/authors&gt;&lt;/contributors&gt;&lt;titles&gt;&lt;title&gt;Transparency in literature reviews: an assessment of reporting practices across review types and genres in top IS journals&lt;/title&gt;&lt;secondary-title&gt;European Journal of Information Systems&lt;/secondary-title&gt;&lt;/titles&gt;&lt;periodical&gt;&lt;full-title&gt;European Journal of Information Systems&lt;/full-title&gt;&lt;/periodical&gt;&lt;pages&gt;503-550&lt;/pages&gt;&lt;volume&gt;27&lt;/volume&gt;&lt;number&gt;5&lt;/number&gt;&lt;dates&gt;&lt;year&gt;2018&lt;/year&gt;&lt;/dates&gt;&lt;isbn&gt;0960-085X&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(Templier &amp; Pare, 2018)</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and placed in </w:t>
      </w:r>
      <w:r w:rsidRPr="005B5164">
        <w:rPr>
          <w:rFonts w:ascii="Times New Roman" w:hAnsi="Times New Roman" w:cs="Times New Roman"/>
          <w:b/>
          <w:bCs/>
          <w:sz w:val="20"/>
          <w:szCs w:val="20"/>
        </w:rPr>
        <w:t>Table 1</w:t>
      </w:r>
      <w:r w:rsidRPr="005B5164">
        <w:rPr>
          <w:rFonts w:ascii="Times New Roman" w:hAnsi="Times New Roman" w:cs="Times New Roman"/>
          <w:sz w:val="20"/>
          <w:szCs w:val="20"/>
        </w:rPr>
        <w:t>.</w:t>
      </w:r>
    </w:p>
    <w:tbl>
      <w:tblPr>
        <w:tblStyle w:val="TableGrid"/>
        <w:tblW w:w="10350" w:type="dxa"/>
        <w:tblInd w:w="-275" w:type="dxa"/>
        <w:tblLook w:val="04A0" w:firstRow="1" w:lastRow="0" w:firstColumn="1" w:lastColumn="0" w:noHBand="0" w:noVBand="1"/>
      </w:tblPr>
      <w:tblGrid>
        <w:gridCol w:w="1775"/>
        <w:gridCol w:w="1589"/>
        <w:gridCol w:w="2074"/>
        <w:gridCol w:w="1852"/>
        <w:gridCol w:w="3060"/>
      </w:tblGrid>
      <w:tr w:rsidR="00B70B8D" w:rsidRPr="005B5164" w14:paraId="48B98ED3" w14:textId="77777777" w:rsidTr="0090208D">
        <w:tc>
          <w:tcPr>
            <w:tcW w:w="1775" w:type="dxa"/>
          </w:tcPr>
          <w:p w14:paraId="733BE24C" w14:textId="77777777" w:rsidR="00B70B8D" w:rsidRPr="005B5164" w:rsidRDefault="00397AB8" w:rsidP="005977F2">
            <w:pPr>
              <w:spacing w:after="0" w:line="240" w:lineRule="auto"/>
              <w:ind w:leftChars="0" w:left="0" w:firstLineChars="0" w:firstLine="0"/>
              <w:jc w:val="center"/>
              <w:rPr>
                <w:rFonts w:ascii="Times New Roman" w:hAnsi="Times New Roman" w:cs="Times New Roman"/>
                <w:sz w:val="18"/>
                <w:szCs w:val="18"/>
              </w:rPr>
            </w:pPr>
            <w:bookmarkStart w:id="2" w:name="_Hlk118890023"/>
            <w:r w:rsidRPr="005B5164">
              <w:rPr>
                <w:rFonts w:ascii="Times New Roman" w:hAnsi="Times New Roman" w:cs="Times New Roman"/>
                <w:b/>
                <w:bCs/>
                <w:sz w:val="18"/>
                <w:szCs w:val="18"/>
              </w:rPr>
              <w:t>Overarching theme</w:t>
            </w:r>
          </w:p>
        </w:tc>
        <w:tc>
          <w:tcPr>
            <w:tcW w:w="1589" w:type="dxa"/>
          </w:tcPr>
          <w:p w14:paraId="5B6569BB" w14:textId="77777777" w:rsidR="00B70B8D" w:rsidRPr="005B5164" w:rsidRDefault="00397AB8" w:rsidP="005977F2">
            <w:pPr>
              <w:spacing w:after="0" w:line="240" w:lineRule="auto"/>
              <w:ind w:leftChars="0" w:left="0" w:firstLineChars="0" w:firstLine="0"/>
              <w:jc w:val="center"/>
              <w:rPr>
                <w:rFonts w:ascii="Times New Roman" w:hAnsi="Times New Roman" w:cs="Times New Roman"/>
                <w:sz w:val="18"/>
                <w:szCs w:val="18"/>
              </w:rPr>
            </w:pPr>
            <w:r w:rsidRPr="005B5164">
              <w:rPr>
                <w:rFonts w:ascii="Times New Roman" w:hAnsi="Times New Roman" w:cs="Times New Roman"/>
                <w:b/>
                <w:bCs/>
                <w:sz w:val="18"/>
                <w:szCs w:val="18"/>
              </w:rPr>
              <w:t>Major themes</w:t>
            </w:r>
          </w:p>
        </w:tc>
        <w:tc>
          <w:tcPr>
            <w:tcW w:w="2074" w:type="dxa"/>
          </w:tcPr>
          <w:p w14:paraId="5C9608F8" w14:textId="77777777" w:rsidR="00B70B8D" w:rsidRPr="005B5164" w:rsidRDefault="00397AB8" w:rsidP="005977F2">
            <w:pPr>
              <w:spacing w:after="0" w:line="240" w:lineRule="auto"/>
              <w:ind w:leftChars="0" w:left="0" w:firstLineChars="0" w:firstLine="0"/>
              <w:jc w:val="center"/>
              <w:rPr>
                <w:rFonts w:ascii="Times New Roman" w:hAnsi="Times New Roman" w:cs="Times New Roman"/>
                <w:sz w:val="18"/>
                <w:szCs w:val="18"/>
              </w:rPr>
            </w:pPr>
            <w:r w:rsidRPr="005B5164">
              <w:rPr>
                <w:rFonts w:ascii="Times New Roman" w:hAnsi="Times New Roman" w:cs="Times New Roman"/>
                <w:b/>
                <w:bCs/>
                <w:sz w:val="18"/>
                <w:szCs w:val="18"/>
              </w:rPr>
              <w:t>Second order themes (sub</w:t>
            </w:r>
            <w:r w:rsidRPr="005B5164">
              <w:rPr>
                <w:rFonts w:ascii="Times New Roman" w:hAnsi="Times New Roman" w:cs="Times New Roman"/>
                <w:b/>
                <w:bCs/>
                <w:sz w:val="18"/>
                <w:szCs w:val="18"/>
              </w:rPr>
              <w:noBreakHyphen/>
              <w:t>theme)</w:t>
            </w:r>
          </w:p>
        </w:tc>
        <w:tc>
          <w:tcPr>
            <w:tcW w:w="1852" w:type="dxa"/>
          </w:tcPr>
          <w:p w14:paraId="02E2EA5D" w14:textId="77777777" w:rsidR="00B70B8D" w:rsidRPr="005B5164" w:rsidRDefault="00397AB8" w:rsidP="005977F2">
            <w:pPr>
              <w:spacing w:after="0" w:line="240" w:lineRule="auto"/>
              <w:ind w:leftChars="0" w:left="0" w:firstLineChars="0" w:firstLine="0"/>
              <w:jc w:val="center"/>
              <w:rPr>
                <w:rFonts w:ascii="Times New Roman" w:hAnsi="Times New Roman" w:cs="Times New Roman"/>
                <w:sz w:val="18"/>
                <w:szCs w:val="18"/>
              </w:rPr>
            </w:pPr>
            <w:r w:rsidRPr="005B5164">
              <w:rPr>
                <w:rFonts w:ascii="Times New Roman" w:hAnsi="Times New Roman" w:cs="Times New Roman"/>
                <w:b/>
                <w:bCs/>
                <w:sz w:val="18"/>
                <w:szCs w:val="18"/>
              </w:rPr>
              <w:t>First order concepts</w:t>
            </w:r>
          </w:p>
        </w:tc>
        <w:tc>
          <w:tcPr>
            <w:tcW w:w="3060" w:type="dxa"/>
          </w:tcPr>
          <w:p w14:paraId="5645A436" w14:textId="77777777" w:rsidR="00B70B8D" w:rsidRPr="005B5164" w:rsidRDefault="00397AB8" w:rsidP="005977F2">
            <w:pPr>
              <w:spacing w:after="0" w:line="240" w:lineRule="auto"/>
              <w:ind w:leftChars="0" w:left="0" w:firstLineChars="0" w:firstLine="0"/>
              <w:jc w:val="center"/>
              <w:rPr>
                <w:rFonts w:ascii="Times New Roman" w:hAnsi="Times New Roman" w:cs="Times New Roman"/>
                <w:sz w:val="18"/>
                <w:szCs w:val="18"/>
              </w:rPr>
            </w:pPr>
            <w:r w:rsidRPr="005B5164">
              <w:rPr>
                <w:rFonts w:ascii="Times New Roman" w:hAnsi="Times New Roman" w:cs="Times New Roman"/>
                <w:b/>
                <w:bCs/>
                <w:sz w:val="18"/>
                <w:szCs w:val="18"/>
              </w:rPr>
              <w:t>Authors</w:t>
            </w:r>
          </w:p>
        </w:tc>
      </w:tr>
      <w:tr w:rsidR="00B70B8D" w:rsidRPr="005B5164" w14:paraId="496119CF" w14:textId="77777777" w:rsidTr="0090208D">
        <w:tc>
          <w:tcPr>
            <w:tcW w:w="1775" w:type="dxa"/>
            <w:vMerge w:val="restart"/>
          </w:tcPr>
          <w:p w14:paraId="11A91204" w14:textId="77777777" w:rsidR="00B70B8D" w:rsidRPr="005B5164" w:rsidRDefault="00397AB8" w:rsidP="005977F2">
            <w:pPr>
              <w:spacing w:after="0" w:line="240" w:lineRule="auto"/>
              <w:ind w:leftChars="0" w:left="0" w:firstLineChars="0" w:firstLine="0"/>
              <w:rPr>
                <w:rFonts w:ascii="Times New Roman" w:hAnsi="Times New Roman" w:cs="Times New Roman"/>
                <w:sz w:val="18"/>
                <w:szCs w:val="18"/>
              </w:rPr>
            </w:pPr>
            <w:bookmarkStart w:id="3" w:name="_Hlk119141341"/>
            <w:r w:rsidRPr="005B5164">
              <w:rPr>
                <w:rFonts w:ascii="Times New Roman" w:hAnsi="Times New Roman" w:cs="Times New Roman"/>
                <w:sz w:val="18"/>
                <w:szCs w:val="18"/>
              </w:rPr>
              <w:t>Epistemological Access</w:t>
            </w:r>
          </w:p>
          <w:p w14:paraId="1E24E35F" w14:textId="77777777" w:rsidR="00B70B8D" w:rsidRPr="005B5164" w:rsidRDefault="00B70B8D" w:rsidP="005977F2">
            <w:pPr>
              <w:spacing w:after="0" w:line="240" w:lineRule="auto"/>
              <w:ind w:leftChars="0" w:left="0" w:firstLineChars="0" w:firstLine="0"/>
              <w:jc w:val="both"/>
              <w:rPr>
                <w:rFonts w:ascii="Times New Roman" w:hAnsi="Times New Roman" w:cs="Times New Roman"/>
                <w:sz w:val="18"/>
                <w:szCs w:val="18"/>
              </w:rPr>
            </w:pPr>
          </w:p>
        </w:tc>
        <w:tc>
          <w:tcPr>
            <w:tcW w:w="1589" w:type="dxa"/>
            <w:vMerge w:val="restart"/>
          </w:tcPr>
          <w:p w14:paraId="083364AB" w14:textId="77777777" w:rsidR="00B70B8D" w:rsidRPr="005B5164" w:rsidRDefault="00397AB8" w:rsidP="005977F2">
            <w:pPr>
              <w:spacing w:after="0" w:line="240" w:lineRule="auto"/>
              <w:ind w:leftChars="0" w:left="0" w:firstLineChars="0" w:firstLine="0"/>
              <w:jc w:val="center"/>
              <w:rPr>
                <w:rFonts w:ascii="Times New Roman" w:hAnsi="Times New Roman" w:cs="Times New Roman"/>
                <w:sz w:val="18"/>
                <w:szCs w:val="18"/>
              </w:rPr>
            </w:pPr>
            <w:r w:rsidRPr="005B5164">
              <w:rPr>
                <w:rFonts w:ascii="Times New Roman" w:hAnsi="Times New Roman" w:cs="Times New Roman"/>
                <w:sz w:val="18"/>
                <w:szCs w:val="18"/>
              </w:rPr>
              <w:t>Educational Technological Affordances</w:t>
            </w:r>
          </w:p>
        </w:tc>
        <w:tc>
          <w:tcPr>
            <w:tcW w:w="2074" w:type="dxa"/>
            <w:vMerge w:val="restart"/>
          </w:tcPr>
          <w:p w14:paraId="36A9AD98" w14:textId="77777777" w:rsidR="00B70B8D" w:rsidRPr="005B5164" w:rsidRDefault="00397AB8" w:rsidP="005977F2">
            <w:pPr>
              <w:spacing w:after="0" w:line="240" w:lineRule="auto"/>
              <w:ind w:leftChars="0" w:left="0" w:firstLineChars="0" w:firstLine="0"/>
              <w:rPr>
                <w:rFonts w:ascii="Times New Roman" w:hAnsi="Times New Roman" w:cs="Times New Roman"/>
                <w:sz w:val="18"/>
                <w:szCs w:val="18"/>
              </w:rPr>
            </w:pPr>
            <w:r w:rsidRPr="005B5164">
              <w:rPr>
                <w:rFonts w:ascii="Times New Roman" w:hAnsi="Times New Roman" w:cs="Times New Roman"/>
                <w:color w:val="191919"/>
                <w:sz w:val="18"/>
                <w:szCs w:val="18"/>
              </w:rPr>
              <w:t xml:space="preserve">Usability, selection, browsing, representation of content, structuring collaborative learning process, </w:t>
            </w:r>
            <w:proofErr w:type="spellStart"/>
            <w:r w:rsidRPr="005B5164">
              <w:rPr>
                <w:rFonts w:ascii="Times New Roman" w:hAnsi="Times New Roman" w:cs="Times New Roman"/>
                <w:color w:val="191919"/>
                <w:sz w:val="18"/>
                <w:szCs w:val="18"/>
              </w:rPr>
              <w:t>provisionality</w:t>
            </w:r>
            <w:proofErr w:type="spellEnd"/>
            <w:r w:rsidRPr="005B5164">
              <w:rPr>
                <w:rFonts w:ascii="Times New Roman" w:hAnsi="Times New Roman" w:cs="Times New Roman"/>
                <w:color w:val="191919"/>
                <w:sz w:val="18"/>
                <w:szCs w:val="18"/>
              </w:rPr>
              <w:t>, informing teachers, monitoring and regulation, engaging in co-construction, engaging in productive process, support/challenge, and assistive memory control</w:t>
            </w:r>
          </w:p>
        </w:tc>
        <w:tc>
          <w:tcPr>
            <w:tcW w:w="1852" w:type="dxa"/>
          </w:tcPr>
          <w:p w14:paraId="26755FE9" w14:textId="77777777" w:rsidR="00B70B8D" w:rsidRPr="005B5164" w:rsidRDefault="00397AB8" w:rsidP="005977F2">
            <w:pPr>
              <w:spacing w:after="0" w:line="240" w:lineRule="auto"/>
              <w:ind w:leftChars="0" w:left="0" w:firstLineChars="0" w:firstLine="0"/>
              <w:rPr>
                <w:rFonts w:ascii="Times New Roman" w:hAnsi="Times New Roman" w:cs="Times New Roman"/>
                <w:sz w:val="18"/>
                <w:szCs w:val="18"/>
              </w:rPr>
            </w:pPr>
            <w:r w:rsidRPr="005B5164">
              <w:rPr>
                <w:rFonts w:ascii="Times New Roman" w:hAnsi="Times New Roman" w:cs="Times New Roman"/>
                <w:color w:val="191919"/>
                <w:sz w:val="18"/>
                <w:szCs w:val="18"/>
              </w:rPr>
              <w:t>Accessibility, actualization, assessment, adoption, engagement, and perception.</w:t>
            </w:r>
          </w:p>
        </w:tc>
        <w:tc>
          <w:tcPr>
            <w:tcW w:w="3060" w:type="dxa"/>
          </w:tcPr>
          <w:p w14:paraId="7FED3041" w14:textId="77777777" w:rsidR="00B70B8D" w:rsidRPr="005B5164" w:rsidRDefault="00397AB8" w:rsidP="005977F2">
            <w:pPr>
              <w:spacing w:after="0" w:line="240" w:lineRule="auto"/>
              <w:ind w:leftChars="0" w:left="0" w:firstLineChars="0" w:firstLine="0"/>
              <w:jc w:val="both"/>
              <w:rPr>
                <w:rFonts w:ascii="Times New Roman" w:hAnsi="Times New Roman" w:cs="Times New Roman"/>
                <w:sz w:val="18"/>
                <w:szCs w:val="18"/>
              </w:rPr>
            </w:pPr>
            <w:r w:rsidRPr="005B5164">
              <w:rPr>
                <w:rFonts w:ascii="Times New Roman" w:hAnsi="Times New Roman" w:cs="Times New Roman"/>
                <w:sz w:val="18"/>
                <w:szCs w:val="18"/>
              </w:rPr>
              <w:fldChar w:fldCharType="begin"/>
            </w:r>
            <w:r w:rsidRPr="005B5164">
              <w:rPr>
                <w:rFonts w:ascii="Times New Roman" w:hAnsi="Times New Roman" w:cs="Times New Roman"/>
                <w:sz w:val="18"/>
                <w:szCs w:val="18"/>
              </w:rPr>
              <w:instrText xml:space="preserve"> ADDIN EN.CITE </w:instrText>
            </w:r>
            <w:r w:rsidRPr="005B5164">
              <w:rPr>
                <w:rFonts w:ascii="Times New Roman" w:hAnsi="Times New Roman" w:cs="Times New Roman"/>
                <w:sz w:val="18"/>
                <w:szCs w:val="18"/>
              </w:rPr>
              <w:fldChar w:fldCharType="begin"/>
            </w:r>
            <w:r w:rsidRPr="005B5164">
              <w:rPr>
                <w:rFonts w:ascii="Times New Roman" w:hAnsi="Times New Roman" w:cs="Times New Roman"/>
                <w:sz w:val="18"/>
                <w:szCs w:val="18"/>
              </w:rPr>
              <w:instrText xml:space="preserve"> ADDIN EN.CITE.DATA </w:instrText>
            </w:r>
            <w:r w:rsidRPr="005B5164">
              <w:rPr>
                <w:rFonts w:ascii="Times New Roman" w:hAnsi="Times New Roman" w:cs="Times New Roman"/>
                <w:sz w:val="18"/>
                <w:szCs w:val="18"/>
              </w:rPr>
              <w:fldChar w:fldCharType="end"/>
            </w:r>
            <w:r w:rsidRPr="005B5164">
              <w:rPr>
                <w:rFonts w:ascii="Times New Roman" w:hAnsi="Times New Roman" w:cs="Times New Roman"/>
                <w:sz w:val="18"/>
                <w:szCs w:val="18"/>
              </w:rPr>
              <w:fldChar w:fldCharType="separate"/>
            </w:r>
            <w:r w:rsidRPr="005B5164">
              <w:rPr>
                <w:rFonts w:ascii="Times New Roman" w:hAnsi="Times New Roman" w:cs="Times New Roman"/>
                <w:noProof/>
                <w:sz w:val="18"/>
                <w:szCs w:val="18"/>
              </w:rPr>
              <w:t>(Bahari &amp; Gholami, 2022; Bray &amp; Tangney, 2016; Fromm et al., 2020; Paul M. Leonardi, 2013; Mascheroni &amp; Vincent, 2016; Sethi, 2017; Thapa &amp; Hatakka, 2017; Xiangming &amp; Song, 2018; Zhao et al., 2021)</w:t>
            </w:r>
            <w:r w:rsidRPr="005B5164">
              <w:rPr>
                <w:rFonts w:ascii="Times New Roman" w:hAnsi="Times New Roman" w:cs="Times New Roman"/>
                <w:sz w:val="18"/>
                <w:szCs w:val="18"/>
              </w:rPr>
              <w:fldChar w:fldCharType="end"/>
            </w:r>
          </w:p>
        </w:tc>
      </w:tr>
      <w:tr w:rsidR="00B70B8D" w:rsidRPr="005B5164" w14:paraId="34C1524F" w14:textId="77777777" w:rsidTr="0090208D">
        <w:tc>
          <w:tcPr>
            <w:tcW w:w="1775" w:type="dxa"/>
            <w:vMerge/>
          </w:tcPr>
          <w:p w14:paraId="2D27FF21" w14:textId="77777777" w:rsidR="00B70B8D" w:rsidRPr="005B5164" w:rsidRDefault="00B70B8D" w:rsidP="005977F2">
            <w:pPr>
              <w:spacing w:after="0" w:line="240" w:lineRule="auto"/>
              <w:ind w:leftChars="0" w:left="0" w:firstLineChars="0" w:firstLine="0"/>
              <w:jc w:val="both"/>
              <w:rPr>
                <w:rFonts w:ascii="Times New Roman" w:hAnsi="Times New Roman" w:cs="Times New Roman"/>
                <w:sz w:val="18"/>
                <w:szCs w:val="18"/>
              </w:rPr>
            </w:pPr>
          </w:p>
        </w:tc>
        <w:tc>
          <w:tcPr>
            <w:tcW w:w="1589" w:type="dxa"/>
            <w:vMerge/>
          </w:tcPr>
          <w:p w14:paraId="72736229" w14:textId="77777777" w:rsidR="00B70B8D" w:rsidRPr="005B5164" w:rsidRDefault="00B70B8D" w:rsidP="005977F2">
            <w:pPr>
              <w:spacing w:after="0" w:line="240" w:lineRule="auto"/>
              <w:ind w:leftChars="0" w:left="0" w:firstLineChars="0" w:firstLine="0"/>
              <w:jc w:val="both"/>
              <w:rPr>
                <w:rFonts w:ascii="Times New Roman" w:hAnsi="Times New Roman" w:cs="Times New Roman"/>
                <w:sz w:val="18"/>
                <w:szCs w:val="18"/>
              </w:rPr>
            </w:pPr>
          </w:p>
        </w:tc>
        <w:tc>
          <w:tcPr>
            <w:tcW w:w="2074" w:type="dxa"/>
            <w:vMerge/>
          </w:tcPr>
          <w:p w14:paraId="4F89C28B" w14:textId="77777777" w:rsidR="00B70B8D" w:rsidRPr="005B5164" w:rsidRDefault="00B70B8D" w:rsidP="005977F2">
            <w:pPr>
              <w:spacing w:after="0" w:line="240" w:lineRule="auto"/>
              <w:ind w:leftChars="0" w:left="0" w:firstLineChars="0" w:firstLine="0"/>
              <w:rPr>
                <w:rFonts w:ascii="Times New Roman" w:hAnsi="Times New Roman" w:cs="Times New Roman"/>
                <w:sz w:val="18"/>
                <w:szCs w:val="18"/>
              </w:rPr>
            </w:pPr>
          </w:p>
        </w:tc>
        <w:tc>
          <w:tcPr>
            <w:tcW w:w="1852" w:type="dxa"/>
          </w:tcPr>
          <w:p w14:paraId="72F92DE1" w14:textId="035F6BA3" w:rsidR="00B70B8D" w:rsidRPr="005B5164" w:rsidRDefault="00397AB8" w:rsidP="0090208D">
            <w:pPr>
              <w:spacing w:after="0" w:line="240" w:lineRule="auto"/>
              <w:ind w:leftChars="0" w:left="0" w:firstLineChars="0" w:firstLine="0"/>
              <w:rPr>
                <w:rFonts w:ascii="Times New Roman" w:hAnsi="Times New Roman" w:cs="Times New Roman"/>
                <w:sz w:val="18"/>
                <w:szCs w:val="18"/>
              </w:rPr>
            </w:pPr>
            <w:r w:rsidRPr="005B5164">
              <w:rPr>
                <w:rFonts w:ascii="Times New Roman" w:hAnsi="Times New Roman" w:cs="Times New Roman"/>
                <w:color w:val="191919"/>
                <w:sz w:val="18"/>
                <w:szCs w:val="18"/>
              </w:rPr>
              <w:t>Content creation, ease of use, ease of assimilation, ev</w:t>
            </w:r>
            <w:r w:rsidR="0090208D">
              <w:rPr>
                <w:rFonts w:ascii="Times New Roman" w:hAnsi="Times New Roman" w:cs="Times New Roman"/>
                <w:color w:val="191919"/>
                <w:sz w:val="18"/>
                <w:szCs w:val="18"/>
              </w:rPr>
              <w:t>aluation, integration, internet provision, management, &amp;</w:t>
            </w:r>
            <w:r w:rsidRPr="005B5164">
              <w:rPr>
                <w:rFonts w:ascii="Times New Roman" w:hAnsi="Times New Roman" w:cs="Times New Roman"/>
                <w:color w:val="191919"/>
                <w:sz w:val="18"/>
                <w:szCs w:val="18"/>
              </w:rPr>
              <w:t xml:space="preserve"> monitoring</w:t>
            </w:r>
            <w:r w:rsidR="0090208D">
              <w:rPr>
                <w:rFonts w:ascii="Times New Roman" w:hAnsi="Times New Roman" w:cs="Times New Roman"/>
                <w:color w:val="191919"/>
                <w:sz w:val="18"/>
                <w:szCs w:val="18"/>
              </w:rPr>
              <w:t>.</w:t>
            </w:r>
          </w:p>
        </w:tc>
        <w:tc>
          <w:tcPr>
            <w:tcW w:w="3060" w:type="dxa"/>
          </w:tcPr>
          <w:p w14:paraId="5C61F358" w14:textId="77777777" w:rsidR="00B70B8D" w:rsidRPr="005B5164" w:rsidRDefault="00397AB8" w:rsidP="005977F2">
            <w:pPr>
              <w:spacing w:after="0" w:line="240" w:lineRule="auto"/>
              <w:ind w:leftChars="0" w:left="0" w:firstLineChars="0" w:firstLine="0"/>
              <w:jc w:val="both"/>
              <w:rPr>
                <w:rFonts w:ascii="Times New Roman" w:hAnsi="Times New Roman" w:cs="Times New Roman"/>
                <w:sz w:val="18"/>
                <w:szCs w:val="18"/>
              </w:rPr>
            </w:pPr>
            <w:r w:rsidRPr="005B5164">
              <w:rPr>
                <w:rFonts w:ascii="Times New Roman" w:hAnsi="Times New Roman" w:cs="Times New Roman"/>
                <w:sz w:val="18"/>
                <w:szCs w:val="18"/>
              </w:rPr>
              <w:fldChar w:fldCharType="begin"/>
            </w:r>
            <w:r w:rsidRPr="005B5164">
              <w:rPr>
                <w:rFonts w:ascii="Times New Roman" w:hAnsi="Times New Roman" w:cs="Times New Roman"/>
                <w:sz w:val="18"/>
                <w:szCs w:val="18"/>
              </w:rPr>
              <w:instrText xml:space="preserve"> ADDIN EN.CITE </w:instrText>
            </w:r>
            <w:r w:rsidRPr="005B5164">
              <w:rPr>
                <w:rFonts w:ascii="Times New Roman" w:hAnsi="Times New Roman" w:cs="Times New Roman"/>
                <w:sz w:val="18"/>
                <w:szCs w:val="18"/>
              </w:rPr>
              <w:fldChar w:fldCharType="begin"/>
            </w:r>
            <w:r w:rsidRPr="005B5164">
              <w:rPr>
                <w:rFonts w:ascii="Times New Roman" w:hAnsi="Times New Roman" w:cs="Times New Roman"/>
                <w:sz w:val="18"/>
                <w:szCs w:val="18"/>
              </w:rPr>
              <w:instrText xml:space="preserve"> ADDIN EN.CITE.DATA </w:instrText>
            </w:r>
            <w:r w:rsidRPr="005B5164">
              <w:rPr>
                <w:rFonts w:ascii="Times New Roman" w:hAnsi="Times New Roman" w:cs="Times New Roman"/>
                <w:sz w:val="18"/>
                <w:szCs w:val="18"/>
              </w:rPr>
              <w:fldChar w:fldCharType="end"/>
            </w:r>
            <w:r w:rsidRPr="005B5164">
              <w:rPr>
                <w:rFonts w:ascii="Times New Roman" w:hAnsi="Times New Roman" w:cs="Times New Roman"/>
                <w:sz w:val="18"/>
                <w:szCs w:val="18"/>
              </w:rPr>
              <w:fldChar w:fldCharType="separate"/>
            </w:r>
            <w:r w:rsidRPr="005B5164">
              <w:rPr>
                <w:rFonts w:ascii="Times New Roman" w:hAnsi="Times New Roman" w:cs="Times New Roman"/>
                <w:noProof/>
                <w:sz w:val="18"/>
                <w:szCs w:val="18"/>
              </w:rPr>
              <w:t>(Ahad et al., 2018; Chatterjee et al., 2021; Cheikh-Ammar, 2018; Goldkuhl, 2020; Jais et al., 2021; Jónasdóttir &amp; Müller, 2020; Nur'Aini, 2021; Strong et al., 2014; Tagoe &amp; Cole, 2020; Turugare &amp; Rudhumbu, 2020; Vonderwell &amp; Zachariah, 2005; Q. Wang et al., 2013)</w:t>
            </w:r>
            <w:r w:rsidRPr="005B5164">
              <w:rPr>
                <w:rFonts w:ascii="Times New Roman" w:hAnsi="Times New Roman" w:cs="Times New Roman"/>
                <w:sz w:val="18"/>
                <w:szCs w:val="18"/>
              </w:rPr>
              <w:fldChar w:fldCharType="end"/>
            </w:r>
          </w:p>
        </w:tc>
      </w:tr>
      <w:tr w:rsidR="00B70B8D" w:rsidRPr="005B5164" w14:paraId="631BB983" w14:textId="77777777" w:rsidTr="0090208D">
        <w:tc>
          <w:tcPr>
            <w:tcW w:w="1775" w:type="dxa"/>
            <w:vMerge/>
          </w:tcPr>
          <w:p w14:paraId="777F6448" w14:textId="77777777" w:rsidR="00B70B8D" w:rsidRPr="005B5164" w:rsidRDefault="00B70B8D" w:rsidP="005977F2">
            <w:pPr>
              <w:spacing w:after="0" w:line="240" w:lineRule="auto"/>
              <w:ind w:leftChars="0" w:left="0" w:firstLineChars="0" w:firstLine="0"/>
              <w:jc w:val="both"/>
              <w:rPr>
                <w:rFonts w:ascii="Times New Roman" w:hAnsi="Times New Roman" w:cs="Times New Roman"/>
                <w:sz w:val="18"/>
                <w:szCs w:val="18"/>
              </w:rPr>
            </w:pPr>
            <w:bookmarkStart w:id="4" w:name="_Hlk119135259"/>
            <w:bookmarkEnd w:id="3"/>
          </w:p>
        </w:tc>
        <w:tc>
          <w:tcPr>
            <w:tcW w:w="1589" w:type="dxa"/>
            <w:vMerge w:val="restart"/>
          </w:tcPr>
          <w:p w14:paraId="6D371836" w14:textId="77777777" w:rsidR="00B70B8D" w:rsidRPr="005B5164" w:rsidRDefault="00397AB8" w:rsidP="005977F2">
            <w:pPr>
              <w:spacing w:after="0" w:line="240" w:lineRule="auto"/>
              <w:ind w:leftChars="0" w:left="0" w:firstLineChars="0" w:firstLine="0"/>
              <w:jc w:val="center"/>
              <w:rPr>
                <w:rFonts w:ascii="Times New Roman" w:hAnsi="Times New Roman" w:cs="Times New Roman"/>
                <w:sz w:val="18"/>
                <w:szCs w:val="18"/>
              </w:rPr>
            </w:pPr>
            <w:r w:rsidRPr="005B5164">
              <w:rPr>
                <w:rFonts w:ascii="Times New Roman" w:hAnsi="Times New Roman" w:cs="Times New Roman"/>
                <w:sz w:val="18"/>
                <w:szCs w:val="18"/>
              </w:rPr>
              <w:t>Learning Context</w:t>
            </w:r>
          </w:p>
        </w:tc>
        <w:tc>
          <w:tcPr>
            <w:tcW w:w="2074" w:type="dxa"/>
            <w:vMerge w:val="restart"/>
          </w:tcPr>
          <w:p w14:paraId="75A8CBC5" w14:textId="77777777" w:rsidR="00B70B8D" w:rsidRPr="005B5164" w:rsidRDefault="00397AB8" w:rsidP="005977F2">
            <w:pPr>
              <w:spacing w:after="0" w:line="240" w:lineRule="auto"/>
              <w:ind w:leftChars="0" w:left="0" w:firstLineChars="0" w:firstLine="0"/>
              <w:rPr>
                <w:rFonts w:ascii="Times New Roman" w:hAnsi="Times New Roman" w:cs="Times New Roman"/>
                <w:sz w:val="18"/>
                <w:szCs w:val="18"/>
              </w:rPr>
            </w:pPr>
            <w:r w:rsidRPr="005B5164">
              <w:rPr>
                <w:rFonts w:ascii="Times New Roman" w:hAnsi="Times New Roman" w:cs="Times New Roman"/>
                <w:color w:val="191919"/>
                <w:sz w:val="18"/>
                <w:szCs w:val="18"/>
              </w:rPr>
              <w:t>Learner autonomy, learner inclusion and participation, classroom atmosphere, motivation &amp; engagement, and interpersonal relationships</w:t>
            </w:r>
          </w:p>
        </w:tc>
        <w:tc>
          <w:tcPr>
            <w:tcW w:w="1852" w:type="dxa"/>
          </w:tcPr>
          <w:p w14:paraId="679E4404" w14:textId="77777777" w:rsidR="00B70B8D" w:rsidRPr="005B5164" w:rsidRDefault="00397AB8" w:rsidP="005977F2">
            <w:pPr>
              <w:spacing w:after="0" w:line="240" w:lineRule="auto"/>
              <w:ind w:leftChars="0" w:left="0" w:firstLineChars="0" w:firstLine="0"/>
              <w:rPr>
                <w:rFonts w:ascii="Times New Roman" w:hAnsi="Times New Roman" w:cs="Times New Roman"/>
                <w:sz w:val="18"/>
                <w:szCs w:val="18"/>
              </w:rPr>
            </w:pPr>
            <w:r w:rsidRPr="005B5164">
              <w:rPr>
                <w:rFonts w:ascii="Times New Roman" w:hAnsi="Times New Roman" w:cs="Times New Roman"/>
                <w:color w:val="191919"/>
                <w:sz w:val="18"/>
                <w:szCs w:val="18"/>
              </w:rPr>
              <w:t>Awareness, influence, motivation, and performance.</w:t>
            </w:r>
          </w:p>
        </w:tc>
        <w:tc>
          <w:tcPr>
            <w:tcW w:w="3060" w:type="dxa"/>
          </w:tcPr>
          <w:p w14:paraId="3DA44C9B" w14:textId="77777777" w:rsidR="00B70B8D" w:rsidRPr="005B5164" w:rsidRDefault="00397AB8" w:rsidP="005977F2">
            <w:pPr>
              <w:spacing w:after="0" w:line="240" w:lineRule="auto"/>
              <w:ind w:leftChars="0" w:left="0" w:firstLineChars="0" w:firstLine="0"/>
              <w:jc w:val="both"/>
              <w:rPr>
                <w:rFonts w:ascii="Times New Roman" w:hAnsi="Times New Roman" w:cs="Times New Roman"/>
                <w:sz w:val="18"/>
                <w:szCs w:val="18"/>
              </w:rPr>
            </w:pPr>
            <w:r w:rsidRPr="005B5164">
              <w:rPr>
                <w:rFonts w:ascii="Times New Roman" w:hAnsi="Times New Roman" w:cs="Times New Roman"/>
                <w:sz w:val="18"/>
                <w:szCs w:val="18"/>
              </w:rPr>
              <w:fldChar w:fldCharType="begin"/>
            </w:r>
            <w:r w:rsidRPr="005B5164">
              <w:rPr>
                <w:rFonts w:ascii="Times New Roman" w:hAnsi="Times New Roman" w:cs="Times New Roman"/>
                <w:sz w:val="18"/>
                <w:szCs w:val="18"/>
              </w:rPr>
              <w:instrText xml:space="preserve"> ADDIN EN.CITE </w:instrText>
            </w:r>
            <w:r w:rsidRPr="005B5164">
              <w:rPr>
                <w:rFonts w:ascii="Times New Roman" w:hAnsi="Times New Roman" w:cs="Times New Roman"/>
                <w:sz w:val="18"/>
                <w:szCs w:val="18"/>
              </w:rPr>
              <w:fldChar w:fldCharType="begin"/>
            </w:r>
            <w:r w:rsidRPr="005B5164">
              <w:rPr>
                <w:rFonts w:ascii="Times New Roman" w:hAnsi="Times New Roman" w:cs="Times New Roman"/>
                <w:sz w:val="18"/>
                <w:szCs w:val="18"/>
              </w:rPr>
              <w:instrText xml:space="preserve"> ADDIN EN.CITE.DATA </w:instrText>
            </w:r>
            <w:r w:rsidRPr="005B5164">
              <w:rPr>
                <w:rFonts w:ascii="Times New Roman" w:hAnsi="Times New Roman" w:cs="Times New Roman"/>
                <w:sz w:val="18"/>
                <w:szCs w:val="18"/>
              </w:rPr>
              <w:fldChar w:fldCharType="end"/>
            </w:r>
            <w:r w:rsidRPr="005B5164">
              <w:rPr>
                <w:rFonts w:ascii="Times New Roman" w:hAnsi="Times New Roman" w:cs="Times New Roman"/>
                <w:sz w:val="18"/>
                <w:szCs w:val="18"/>
              </w:rPr>
              <w:fldChar w:fldCharType="separate"/>
            </w:r>
            <w:r w:rsidRPr="005B5164">
              <w:rPr>
                <w:rFonts w:ascii="Times New Roman" w:hAnsi="Times New Roman" w:cs="Times New Roman"/>
                <w:noProof/>
                <w:sz w:val="18"/>
                <w:szCs w:val="18"/>
              </w:rPr>
              <w:t>(Al-Ani, 2013; Asamoah &amp; Andoh-Baidoo, 2018; Asamoah, 2020; Jais et al., 2021; Lai, 2017; Payton &amp; Kvasny, 2016)</w:t>
            </w:r>
            <w:r w:rsidRPr="005B5164">
              <w:rPr>
                <w:rFonts w:ascii="Times New Roman" w:hAnsi="Times New Roman" w:cs="Times New Roman"/>
                <w:sz w:val="18"/>
                <w:szCs w:val="18"/>
              </w:rPr>
              <w:fldChar w:fldCharType="end"/>
            </w:r>
          </w:p>
        </w:tc>
      </w:tr>
      <w:tr w:rsidR="00B70B8D" w:rsidRPr="005B5164" w14:paraId="3D85EF44" w14:textId="77777777" w:rsidTr="0090208D">
        <w:tc>
          <w:tcPr>
            <w:tcW w:w="1775" w:type="dxa"/>
            <w:vMerge/>
          </w:tcPr>
          <w:p w14:paraId="39A8C350" w14:textId="77777777" w:rsidR="00B70B8D" w:rsidRPr="005B5164" w:rsidRDefault="00B70B8D" w:rsidP="005977F2">
            <w:pPr>
              <w:spacing w:after="0" w:line="240" w:lineRule="auto"/>
              <w:ind w:leftChars="0" w:left="0" w:firstLineChars="0" w:firstLine="0"/>
              <w:jc w:val="both"/>
              <w:rPr>
                <w:rFonts w:ascii="Times New Roman" w:hAnsi="Times New Roman" w:cs="Times New Roman"/>
                <w:sz w:val="18"/>
                <w:szCs w:val="18"/>
              </w:rPr>
            </w:pPr>
          </w:p>
        </w:tc>
        <w:tc>
          <w:tcPr>
            <w:tcW w:w="1589" w:type="dxa"/>
            <w:vMerge/>
          </w:tcPr>
          <w:p w14:paraId="1A599D0C" w14:textId="77777777" w:rsidR="00B70B8D" w:rsidRPr="005B5164" w:rsidRDefault="00B70B8D" w:rsidP="005977F2">
            <w:pPr>
              <w:spacing w:after="0" w:line="240" w:lineRule="auto"/>
              <w:ind w:leftChars="0" w:left="0" w:firstLineChars="0" w:firstLine="0"/>
              <w:jc w:val="both"/>
              <w:rPr>
                <w:rFonts w:ascii="Times New Roman" w:hAnsi="Times New Roman" w:cs="Times New Roman"/>
                <w:sz w:val="18"/>
                <w:szCs w:val="18"/>
              </w:rPr>
            </w:pPr>
          </w:p>
        </w:tc>
        <w:tc>
          <w:tcPr>
            <w:tcW w:w="2074" w:type="dxa"/>
            <w:vMerge/>
          </w:tcPr>
          <w:p w14:paraId="7AEA85AF" w14:textId="77777777" w:rsidR="00B70B8D" w:rsidRPr="005B5164" w:rsidRDefault="00B70B8D" w:rsidP="005977F2">
            <w:pPr>
              <w:spacing w:after="0" w:line="240" w:lineRule="auto"/>
              <w:ind w:leftChars="0" w:left="0" w:firstLineChars="0" w:firstLine="0"/>
              <w:rPr>
                <w:rFonts w:ascii="Times New Roman" w:hAnsi="Times New Roman" w:cs="Times New Roman"/>
                <w:sz w:val="18"/>
                <w:szCs w:val="18"/>
              </w:rPr>
            </w:pPr>
          </w:p>
        </w:tc>
        <w:tc>
          <w:tcPr>
            <w:tcW w:w="1852" w:type="dxa"/>
          </w:tcPr>
          <w:p w14:paraId="121790D9" w14:textId="77777777" w:rsidR="00B70B8D" w:rsidRPr="005B5164" w:rsidRDefault="00397AB8" w:rsidP="005977F2">
            <w:pPr>
              <w:spacing w:after="0" w:line="240" w:lineRule="auto"/>
              <w:ind w:leftChars="0" w:left="0" w:firstLineChars="0" w:firstLine="0"/>
              <w:rPr>
                <w:rFonts w:ascii="Times New Roman" w:hAnsi="Times New Roman" w:cs="Times New Roman"/>
                <w:sz w:val="18"/>
                <w:szCs w:val="18"/>
              </w:rPr>
            </w:pPr>
            <w:r w:rsidRPr="005B5164">
              <w:rPr>
                <w:rFonts w:ascii="Times New Roman" w:hAnsi="Times New Roman" w:cs="Times New Roman"/>
                <w:color w:val="191919"/>
                <w:sz w:val="18"/>
                <w:szCs w:val="18"/>
              </w:rPr>
              <w:t>Contextual mobility, and material construction.</w:t>
            </w:r>
          </w:p>
        </w:tc>
        <w:tc>
          <w:tcPr>
            <w:tcW w:w="3060" w:type="dxa"/>
          </w:tcPr>
          <w:p w14:paraId="2D1C9B7E" w14:textId="77777777" w:rsidR="00B70B8D" w:rsidRPr="005B5164" w:rsidRDefault="00397AB8" w:rsidP="005977F2">
            <w:pPr>
              <w:spacing w:after="0" w:line="240" w:lineRule="auto"/>
              <w:ind w:leftChars="0" w:left="0" w:firstLineChars="0" w:firstLine="0"/>
              <w:jc w:val="both"/>
              <w:rPr>
                <w:rFonts w:ascii="Times New Roman" w:hAnsi="Times New Roman" w:cs="Times New Roman"/>
                <w:sz w:val="18"/>
                <w:szCs w:val="18"/>
              </w:rPr>
            </w:pPr>
            <w:r w:rsidRPr="005B5164">
              <w:rPr>
                <w:rFonts w:ascii="Times New Roman" w:hAnsi="Times New Roman" w:cs="Times New Roman"/>
                <w:sz w:val="18"/>
                <w:szCs w:val="18"/>
              </w:rPr>
              <w:fldChar w:fldCharType="begin"/>
            </w:r>
            <w:r w:rsidRPr="005B5164">
              <w:rPr>
                <w:rFonts w:ascii="Times New Roman" w:hAnsi="Times New Roman" w:cs="Times New Roman"/>
                <w:sz w:val="18"/>
                <w:szCs w:val="18"/>
              </w:rPr>
              <w:instrText xml:space="preserve"> ADDIN EN.CITE &lt;EndNote&gt;&lt;Cite&gt;&lt;Author&gt;Dinsmore&lt;/Author&gt;&lt;Year&gt;2019&lt;/Year&gt;&lt;RecNum&gt;121&lt;/RecNum&gt;&lt;DisplayText&gt;(Dinsmore, 2019)&lt;/DisplayText&gt;&lt;record&gt;&lt;rec-number&gt;121&lt;/rec-number&gt;&lt;foreign-keys&gt;&lt;key app="EN" db-id="zazt0005c02a9aeaxpdv00p7tpexrpww9r0a" timestamp="1648382984"&gt;121&lt;/key&gt;&lt;/foreign-keys&gt;&lt;ref-type name="Journal Article"&gt;17&lt;/ref-type&gt;&lt;contributors&gt;&lt;authors&gt;&lt;author&gt;Dinsmore, Brooke&lt;/author&gt;&lt;/authors&gt;&lt;/contributors&gt;&lt;titles&gt;&lt;title&gt;Contested affordances: teachers and students negotiating the classroom integration of mobile technology&lt;/title&gt;&lt;secondary-title&gt;Information, Communication &amp;amp; Society&lt;/secondary-title&gt;&lt;/titles&gt;&lt;periodical&gt;&lt;full-title&gt;Information, Communication &amp;amp; Society&lt;/full-title&gt;&lt;/periodical&gt;&lt;pages&gt;664-677&lt;/pages&gt;&lt;volume&gt;22&lt;/volume&gt;&lt;number&gt;5&lt;/number&gt;&lt;dates&gt;&lt;year&gt;2019&lt;/year&gt;&lt;/dates&gt;&lt;isbn&gt;1369-118X&lt;/isbn&gt;&lt;urls&gt;&lt;/urls&gt;&lt;/record&gt;&lt;/Cite&gt;&lt;/EndNote&gt;</w:instrText>
            </w:r>
            <w:r w:rsidRPr="005B5164">
              <w:rPr>
                <w:rFonts w:ascii="Times New Roman" w:hAnsi="Times New Roman" w:cs="Times New Roman"/>
                <w:sz w:val="18"/>
                <w:szCs w:val="18"/>
              </w:rPr>
              <w:fldChar w:fldCharType="separate"/>
            </w:r>
            <w:r w:rsidRPr="005B5164">
              <w:rPr>
                <w:rFonts w:ascii="Times New Roman" w:hAnsi="Times New Roman" w:cs="Times New Roman"/>
                <w:noProof/>
                <w:sz w:val="18"/>
                <w:szCs w:val="18"/>
              </w:rPr>
              <w:t>(Dinsmore, 2019)</w:t>
            </w:r>
            <w:r w:rsidRPr="005B5164">
              <w:rPr>
                <w:rFonts w:ascii="Times New Roman" w:hAnsi="Times New Roman" w:cs="Times New Roman"/>
                <w:sz w:val="18"/>
                <w:szCs w:val="18"/>
              </w:rPr>
              <w:fldChar w:fldCharType="end"/>
            </w:r>
          </w:p>
        </w:tc>
      </w:tr>
      <w:tr w:rsidR="00B70B8D" w:rsidRPr="005B5164" w14:paraId="3984A934" w14:textId="77777777" w:rsidTr="0090208D">
        <w:trPr>
          <w:cantSplit/>
          <w:trHeight w:val="1134"/>
        </w:trPr>
        <w:tc>
          <w:tcPr>
            <w:tcW w:w="1775" w:type="dxa"/>
            <w:vMerge/>
          </w:tcPr>
          <w:p w14:paraId="5638C9E9" w14:textId="77777777" w:rsidR="00B70B8D" w:rsidRPr="005B5164" w:rsidRDefault="00B70B8D" w:rsidP="005977F2">
            <w:pPr>
              <w:spacing w:after="0" w:line="240" w:lineRule="auto"/>
              <w:ind w:leftChars="0" w:left="0" w:firstLineChars="0" w:firstLine="0"/>
              <w:jc w:val="both"/>
              <w:rPr>
                <w:rFonts w:ascii="Times New Roman" w:hAnsi="Times New Roman" w:cs="Times New Roman"/>
                <w:sz w:val="18"/>
                <w:szCs w:val="18"/>
              </w:rPr>
            </w:pPr>
            <w:bookmarkStart w:id="5" w:name="_Hlk119141226"/>
            <w:bookmarkEnd w:id="4"/>
          </w:p>
        </w:tc>
        <w:tc>
          <w:tcPr>
            <w:tcW w:w="1589" w:type="dxa"/>
          </w:tcPr>
          <w:p w14:paraId="5BA6D10D" w14:textId="77777777" w:rsidR="00B70B8D" w:rsidRPr="005B5164" w:rsidRDefault="00397AB8" w:rsidP="005977F2">
            <w:pPr>
              <w:spacing w:after="0" w:line="240" w:lineRule="auto"/>
              <w:ind w:leftChars="0" w:left="0" w:firstLineChars="0" w:firstLine="0"/>
              <w:jc w:val="center"/>
              <w:rPr>
                <w:rFonts w:ascii="Times New Roman" w:hAnsi="Times New Roman" w:cs="Times New Roman"/>
                <w:sz w:val="18"/>
                <w:szCs w:val="18"/>
              </w:rPr>
            </w:pPr>
            <w:r w:rsidRPr="005B5164">
              <w:rPr>
                <w:rFonts w:ascii="Times New Roman" w:hAnsi="Times New Roman" w:cs="Times New Roman"/>
                <w:sz w:val="18"/>
                <w:szCs w:val="18"/>
              </w:rPr>
              <w:t>Dialogic Activities</w:t>
            </w:r>
          </w:p>
        </w:tc>
        <w:tc>
          <w:tcPr>
            <w:tcW w:w="2074" w:type="dxa"/>
          </w:tcPr>
          <w:p w14:paraId="29AEBEA9" w14:textId="77777777" w:rsidR="00B70B8D" w:rsidRPr="005B5164" w:rsidRDefault="00397AB8" w:rsidP="005977F2">
            <w:pPr>
              <w:spacing w:after="0" w:line="240" w:lineRule="auto"/>
              <w:ind w:leftChars="0" w:left="0" w:firstLineChars="0" w:firstLine="0"/>
              <w:rPr>
                <w:rFonts w:ascii="Times New Roman" w:hAnsi="Times New Roman" w:cs="Times New Roman"/>
                <w:sz w:val="18"/>
                <w:szCs w:val="18"/>
              </w:rPr>
            </w:pPr>
            <w:r w:rsidRPr="005B5164">
              <w:rPr>
                <w:rFonts w:ascii="Times New Roman" w:hAnsi="Times New Roman" w:cs="Times New Roman"/>
                <w:color w:val="191919"/>
                <w:sz w:val="18"/>
                <w:szCs w:val="18"/>
              </w:rPr>
              <w:t>Knowledge co-construction, using dialogue to express meta-cognitive learning, using dialogue to scaffold understanding between learner-learner &amp; teacher-learner.</w:t>
            </w:r>
          </w:p>
        </w:tc>
        <w:tc>
          <w:tcPr>
            <w:tcW w:w="1852" w:type="dxa"/>
          </w:tcPr>
          <w:p w14:paraId="2FD51231" w14:textId="77777777" w:rsidR="00B70B8D" w:rsidRPr="005B5164" w:rsidRDefault="00397AB8" w:rsidP="005977F2">
            <w:pPr>
              <w:spacing w:after="0" w:line="240" w:lineRule="auto"/>
              <w:ind w:leftChars="0" w:left="0" w:firstLineChars="0" w:firstLine="0"/>
              <w:rPr>
                <w:rFonts w:ascii="Times New Roman" w:hAnsi="Times New Roman" w:cs="Times New Roman"/>
                <w:sz w:val="18"/>
                <w:szCs w:val="18"/>
              </w:rPr>
            </w:pPr>
            <w:r w:rsidRPr="005B5164">
              <w:rPr>
                <w:rFonts w:ascii="Times New Roman" w:hAnsi="Times New Roman" w:cs="Times New Roman"/>
                <w:color w:val="191919"/>
                <w:sz w:val="18"/>
                <w:szCs w:val="18"/>
              </w:rPr>
              <w:t>Association, accountability, archiving, autonomy, collaboration, communication, coordination, decoupling, desire to learn, editability, efficacy, expression, experience, interaction, intention, and presentation.</w:t>
            </w:r>
          </w:p>
        </w:tc>
        <w:tc>
          <w:tcPr>
            <w:tcW w:w="3060" w:type="dxa"/>
          </w:tcPr>
          <w:p w14:paraId="1C27AF81" w14:textId="77777777" w:rsidR="00B70B8D" w:rsidRPr="005B5164" w:rsidRDefault="00397AB8" w:rsidP="005977F2">
            <w:pPr>
              <w:spacing w:after="0" w:line="240" w:lineRule="auto"/>
              <w:ind w:leftChars="0" w:left="0" w:firstLineChars="0" w:firstLine="0"/>
              <w:jc w:val="both"/>
              <w:rPr>
                <w:rFonts w:ascii="Times New Roman" w:hAnsi="Times New Roman" w:cs="Times New Roman"/>
                <w:sz w:val="18"/>
                <w:szCs w:val="18"/>
              </w:rPr>
            </w:pPr>
            <w:r w:rsidRPr="005B5164">
              <w:rPr>
                <w:rFonts w:ascii="Times New Roman" w:hAnsi="Times New Roman" w:cs="Times New Roman"/>
                <w:sz w:val="18"/>
                <w:szCs w:val="18"/>
              </w:rPr>
              <w:fldChar w:fldCharType="begin"/>
            </w:r>
            <w:r w:rsidRPr="005B5164">
              <w:rPr>
                <w:rFonts w:ascii="Times New Roman" w:hAnsi="Times New Roman" w:cs="Times New Roman"/>
                <w:sz w:val="18"/>
                <w:szCs w:val="18"/>
              </w:rPr>
              <w:instrText xml:space="preserve"> ADDIN EN.CITE </w:instrText>
            </w:r>
            <w:r w:rsidRPr="005B5164">
              <w:rPr>
                <w:rFonts w:ascii="Times New Roman" w:hAnsi="Times New Roman" w:cs="Times New Roman"/>
                <w:sz w:val="18"/>
                <w:szCs w:val="18"/>
              </w:rPr>
              <w:fldChar w:fldCharType="begin"/>
            </w:r>
            <w:r w:rsidRPr="005B5164">
              <w:rPr>
                <w:rFonts w:ascii="Times New Roman" w:hAnsi="Times New Roman" w:cs="Times New Roman"/>
                <w:sz w:val="18"/>
                <w:szCs w:val="18"/>
              </w:rPr>
              <w:instrText xml:space="preserve"> ADDIN EN.CITE.DATA </w:instrText>
            </w:r>
            <w:r w:rsidRPr="005B5164">
              <w:rPr>
                <w:rFonts w:ascii="Times New Roman" w:hAnsi="Times New Roman" w:cs="Times New Roman"/>
                <w:sz w:val="18"/>
                <w:szCs w:val="18"/>
              </w:rPr>
              <w:fldChar w:fldCharType="end"/>
            </w:r>
            <w:r w:rsidRPr="005B5164">
              <w:rPr>
                <w:rFonts w:ascii="Times New Roman" w:hAnsi="Times New Roman" w:cs="Times New Roman"/>
                <w:sz w:val="18"/>
                <w:szCs w:val="18"/>
              </w:rPr>
              <w:fldChar w:fldCharType="separate"/>
            </w:r>
            <w:r w:rsidRPr="005B5164">
              <w:rPr>
                <w:rFonts w:ascii="Times New Roman" w:hAnsi="Times New Roman" w:cs="Times New Roman"/>
                <w:noProof/>
                <w:sz w:val="18"/>
                <w:szCs w:val="18"/>
              </w:rPr>
              <w:t>(Al-Ani, 2013; Asamoah, 2020; Bobsin et al., 2019; Chatterjee et al., 2021; Cordes, 2016; Dinsmore, 2019; Evans et al., 2017; Faik et al., 2020; Fu et al., 2019; Gillen &amp; Kucirkova, 2018; Goldkuhl, 2020; Järvelä et al., 2015; Manca &amp; Ranieri, 2013; Mao, 2014; McKenna, 2020; Rahimi et al., 2015; Rodríguez-Hidalgo, 2020; Sethi, 2017; Strong et al., 2014; Tagoe &amp; Cole, 2020; Waizenegger et al., 2020; C.-H. Wang et al., 2013; Wendt et al., 2022; Wyche &amp; Steinfield, 2016; Young &amp; Cleveland, 2022)</w:t>
            </w:r>
            <w:r w:rsidRPr="005B5164">
              <w:rPr>
                <w:rFonts w:ascii="Times New Roman" w:hAnsi="Times New Roman" w:cs="Times New Roman"/>
                <w:sz w:val="18"/>
                <w:szCs w:val="18"/>
              </w:rPr>
              <w:fldChar w:fldCharType="end"/>
            </w:r>
          </w:p>
        </w:tc>
      </w:tr>
      <w:bookmarkEnd w:id="5"/>
      <w:tr w:rsidR="00B70B8D" w:rsidRPr="005B5164" w14:paraId="78B2C4FC" w14:textId="77777777" w:rsidTr="00EF59CE">
        <w:trPr>
          <w:cantSplit/>
          <w:trHeight w:val="422"/>
        </w:trPr>
        <w:tc>
          <w:tcPr>
            <w:tcW w:w="1775" w:type="dxa"/>
          </w:tcPr>
          <w:p w14:paraId="315BF25A" w14:textId="77777777" w:rsidR="00B70B8D" w:rsidRPr="005B5164" w:rsidRDefault="00B70B8D" w:rsidP="005977F2">
            <w:pPr>
              <w:spacing w:after="0" w:line="240" w:lineRule="auto"/>
              <w:ind w:leftChars="0" w:left="0" w:firstLineChars="0" w:firstLine="0"/>
              <w:jc w:val="both"/>
              <w:rPr>
                <w:rFonts w:ascii="Times New Roman" w:hAnsi="Times New Roman" w:cs="Times New Roman"/>
                <w:sz w:val="18"/>
                <w:szCs w:val="18"/>
              </w:rPr>
            </w:pPr>
          </w:p>
        </w:tc>
        <w:tc>
          <w:tcPr>
            <w:tcW w:w="8575" w:type="dxa"/>
            <w:gridSpan w:val="4"/>
          </w:tcPr>
          <w:p w14:paraId="2F6D44F5" w14:textId="77777777" w:rsidR="00B70B8D" w:rsidRPr="005B5164" w:rsidRDefault="00B70B8D" w:rsidP="005977F2">
            <w:pPr>
              <w:spacing w:after="0" w:line="240" w:lineRule="auto"/>
              <w:ind w:leftChars="0" w:left="0" w:firstLineChars="0" w:firstLine="0"/>
              <w:jc w:val="both"/>
              <w:rPr>
                <w:rFonts w:ascii="Times New Roman" w:hAnsi="Times New Roman" w:cs="Times New Roman"/>
                <w:sz w:val="18"/>
                <w:szCs w:val="18"/>
              </w:rPr>
            </w:pPr>
          </w:p>
          <w:p w14:paraId="0DFB31D1" w14:textId="77777777" w:rsidR="00B70B8D" w:rsidRPr="005B5164" w:rsidRDefault="00397AB8" w:rsidP="005977F2">
            <w:pPr>
              <w:spacing w:after="0" w:line="240" w:lineRule="auto"/>
              <w:ind w:leftChars="0" w:left="0" w:firstLineChars="0" w:firstLine="0"/>
              <w:jc w:val="both"/>
              <w:rPr>
                <w:rFonts w:ascii="Times New Roman" w:hAnsi="Times New Roman" w:cs="Times New Roman"/>
                <w:sz w:val="18"/>
                <w:szCs w:val="18"/>
              </w:rPr>
            </w:pPr>
            <w:r w:rsidRPr="005B5164">
              <w:rPr>
                <w:rFonts w:ascii="Times New Roman" w:hAnsi="Times New Roman" w:cs="Times New Roman"/>
                <w:b/>
                <w:bCs/>
                <w:sz w:val="18"/>
                <w:szCs w:val="18"/>
              </w:rPr>
              <w:t>Table 1: Concepts Extraction from the Synthesized Studies</w:t>
            </w:r>
          </w:p>
        </w:tc>
      </w:tr>
      <w:bookmarkEnd w:id="2"/>
    </w:tbl>
    <w:p w14:paraId="7D3C023C" w14:textId="77777777" w:rsidR="00B70B8D" w:rsidRPr="00EF59CE" w:rsidRDefault="00B70B8D" w:rsidP="005977F2">
      <w:pPr>
        <w:spacing w:after="0" w:line="240" w:lineRule="auto"/>
        <w:ind w:leftChars="0" w:left="0" w:firstLineChars="0" w:firstLine="0"/>
        <w:jc w:val="both"/>
        <w:rPr>
          <w:rFonts w:ascii="Times New Roman" w:hAnsi="Times New Roman" w:cs="Times New Roman"/>
          <w:sz w:val="8"/>
          <w:szCs w:val="20"/>
        </w:rPr>
      </w:pPr>
    </w:p>
    <w:p w14:paraId="022EC065" w14:textId="77777777" w:rsidR="00B70B8D" w:rsidRPr="005B5164" w:rsidRDefault="00397AB8" w:rsidP="002808E4">
      <w:pPr>
        <w:spacing w:after="0" w:line="240" w:lineRule="auto"/>
        <w:ind w:leftChars="0" w:left="0" w:firstLineChars="0" w:firstLine="180"/>
        <w:jc w:val="both"/>
        <w:rPr>
          <w:rFonts w:ascii="Times New Roman" w:hAnsi="Times New Roman" w:cs="Times New Roman"/>
          <w:sz w:val="20"/>
          <w:szCs w:val="20"/>
        </w:rPr>
      </w:pPr>
      <w:r w:rsidRPr="005B5164">
        <w:rPr>
          <w:rFonts w:ascii="Times New Roman" w:hAnsi="Times New Roman" w:cs="Times New Roman"/>
          <w:sz w:val="20"/>
          <w:szCs w:val="20"/>
        </w:rPr>
        <w:t xml:space="preserve">As an iterative review process, we stopped harvesting more papers when saturation was reached, after careful and thorough reading of the papers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&lt;EndNote&gt;&lt;Cite&gt;&lt;Author&gt;Cecez-Kecmanovic&lt;/Author&gt;&lt;Year&gt;2014&lt;/Year&gt;&lt;RecNum&gt;2740&lt;/RecNum&gt;&lt;DisplayText&gt;(Cecez-Kecmanovic et al., 2014)&lt;/DisplayText&gt;&lt;record&gt;&lt;rec-number&gt;2740&lt;/rec-number&gt;&lt;foreign-keys&gt;&lt;key app="EN" db-id="zazt0005c02a9aeaxpdv00p7tpexrpww9r0a" timestamp="1655105593"&gt;2740&lt;/key&gt;&lt;/foreign-keys&gt;&lt;ref-type name="Journal Article"&gt;17&lt;/ref-type&gt;&lt;contributors&gt;&lt;authors&gt;&lt;author&gt;Cecez-Kecmanovic, Dubravka&lt;/author&gt;&lt;author&gt;Galliers, Robert D&lt;/author&gt;&lt;author&gt;Henfridsson, Ola&lt;/author&gt;&lt;author&gt;Newell, Sue&lt;/author&gt;&lt;author&gt;Vidgen, Richard&lt;/author&gt;&lt;/authors&gt;&lt;/contributors&gt;&lt;titles&gt;&lt;title&gt;The sociomateriality of information systems&lt;/title&gt;&lt;secondary-title&gt;MIS quarterly&lt;/secondary-title&gt;&lt;/titles&gt;&lt;periodical&gt;&lt;full-title&gt;MIS Quarterly&lt;/full-title&gt;&lt;/periodical&gt;&lt;pages&gt;809-830&lt;/pages&gt;&lt;volume&gt;38&lt;/volume&gt;&lt;number&gt;3&lt;/number&gt;&lt;dates&gt;&lt;year&gt;2014&lt;/year&gt;&lt;/dates&gt;&lt;isbn&gt;0276-7783&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(Cecez-Kecmanovic et al., 2014)</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We manually used a data extraction approach meant to store the data, followed by a thematic coding process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w:instrTex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EN.CITE.DATA </w:instrTex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(Leidner &amp; Kayworth, 2006; Roberts et al., 2012; Wiener et al., 2016)</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“Such a coding procedure categorizes text information in a systematic manner and identifies relationships among the categories...” It’s useful for making sense of a big domain of research, and it can help direct future study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&lt;EndNote&gt;&lt;Cite&gt;&lt;Author&gt;Roberts&lt;/Author&gt;&lt;Year&gt;2012&lt;/Year&gt;&lt;RecNum&gt;2742&lt;/RecNum&gt;&lt;Suffix&gt;`, p. 634&lt;/Suffix&gt;&lt;DisplayText&gt;(Roberts et al., 2012, p. 634)&lt;/DisplayText&gt;&lt;record&gt;&lt;rec-number&gt;2742&lt;/rec-number&gt;&lt;foreign-keys&gt;&lt;key app="EN" db-id="zazt0005c02a9aeaxpdv00p7tpexrpww9r0a" timestamp="1655109505"&gt;2742&lt;/key&gt;&lt;/foreign-keys&gt;&lt;ref-type name="Journal Article"&gt;17&lt;/ref-type&gt;&lt;contributors&gt;&lt;authors&gt;&lt;author&gt;Roberts, Nicholas&lt;/author&gt;&lt;author&gt;Galluch, Pamela S&lt;/author&gt;&lt;author&gt;Dinger, Michael&lt;/author&gt;&lt;author&gt;Grover, Varun&lt;/author&gt;&lt;/authors&gt;&lt;/contributors&gt;&lt;titles&gt;&lt;title&gt;Absorptive capacity and information systems research: Review, synthesis, and directions for future research&lt;/title&gt;&lt;secondary-title&gt;MIS quarterly&lt;/secondary-title&gt;&lt;/titles&gt;&lt;periodical&gt;&lt;full-title&gt;MIS Quarterly&lt;/full-title&gt;&lt;/periodical&gt;&lt;pages&gt;625-648&lt;/pages&gt;&lt;dates&gt;&lt;year&gt;2012&lt;/year&gt;&lt;/dates&gt;&lt;isbn&gt;0276-7783&lt;/isbn&gt;&lt;urls&gt;&lt;/urls&gt;&lt;/record&gt;&lt;/Cite&gt;&lt;/EndNote&gt;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(Roberts et al., 2012, p. 634)</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Following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 AuthorYear="1"&gt;&lt;Author&gt;Braun&lt;/Author&gt;&lt;Year&gt;2006&lt;/Year&gt;&lt;RecNum&gt;2744&lt;/RecNum&gt;&lt;DisplayText&gt;Braun and Clarke (2006)&lt;/DisplayText&gt;&lt;record&gt;&lt;rec-number&gt;2744&lt;/rec-number&gt;&lt;foreign-keys&gt;&lt;key app="EN" db-id="zazt0005c02a9aeaxpdv00p7tpexrpww9r0a" timestamp="1655110289"&gt;2744&lt;/key&gt;&lt;/foreign-keys&gt;&lt;ref-type name="Journal Article"&gt;17&lt;/ref-type&gt;&lt;contributors&gt;&lt;authors&gt;&lt;author&gt;Braun, Virginia&lt;/author&gt;&lt;author&gt;Clarke, Victoria&lt;/author&gt;&lt;/authors&gt;&lt;/contributors&gt;&lt;titles&gt;&lt;title&gt;Using thematic analysis in psychology&lt;/title&gt;&lt;secondary-title&gt;Qualitative research in psychology&lt;/secondary-title&gt;&lt;/titles&gt;&lt;periodical&gt;&lt;full-title&gt;Qualitative research in psychology&lt;/full-title&gt;&lt;/periodical&gt;&lt;pages&gt;77-101&lt;/pages&gt;&lt;volume&gt;3&lt;/volume&gt;&lt;number&gt;2&lt;/number&gt;&lt;dates&gt;&lt;year&gt;2006&lt;/year&gt;&lt;/dates&gt;&lt;isbn&gt;1478-0887&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Braun and Clarke (2006)</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our thematic coding approach consists of six steps: (1) familiarizing with the data; (2) generating initial codes; (3) creation of themes; (4) reviewing themes; (5) defining and labeling themes; and (6) producing the report. Starting with stage 1, we will go over the six steps in a way that mirrors how we used and adapted them for our data analysis.</w:t>
      </w:r>
    </w:p>
    <w:p w14:paraId="56979B43" w14:textId="77777777" w:rsidR="00B70B8D" w:rsidRPr="005B5164" w:rsidRDefault="00397AB8" w:rsidP="005977F2">
      <w:pPr>
        <w:spacing w:after="0" w:line="240" w:lineRule="auto"/>
        <w:ind w:leftChars="0" w:left="0" w:firstLineChars="0" w:firstLine="0"/>
        <w:jc w:val="both"/>
        <w:rPr>
          <w:rFonts w:ascii="Times New Roman" w:hAnsi="Times New Roman" w:cs="Times New Roman"/>
          <w:b/>
          <w:bCs/>
          <w:sz w:val="20"/>
          <w:szCs w:val="20"/>
        </w:rPr>
      </w:pPr>
      <w:r w:rsidRPr="005B5164">
        <w:rPr>
          <w:rFonts w:ascii="Times New Roman" w:hAnsi="Times New Roman" w:cs="Times New Roman"/>
          <w:b/>
          <w:bCs/>
          <w:sz w:val="20"/>
          <w:szCs w:val="20"/>
        </w:rPr>
        <w:t>First Stage: Familiarizing with the Data</w:t>
      </w:r>
    </w:p>
    <w:p w14:paraId="112C3881" w14:textId="788EE186" w:rsidR="00B70B8D" w:rsidRPr="005B5164" w:rsidRDefault="00397AB8" w:rsidP="002808E4">
      <w:pPr>
        <w:spacing w:after="0" w:line="240" w:lineRule="auto"/>
        <w:ind w:leftChars="0" w:left="0" w:firstLineChars="0" w:firstLine="180"/>
        <w:jc w:val="both"/>
        <w:rPr>
          <w:rFonts w:ascii="Times New Roman" w:hAnsi="Times New Roman" w:cs="Times New Roman"/>
          <w:sz w:val="20"/>
          <w:szCs w:val="20"/>
        </w:rPr>
      </w:pPr>
      <w:r w:rsidRPr="005B5164">
        <w:rPr>
          <w:rFonts w:ascii="Times New Roman" w:hAnsi="Times New Roman" w:cs="Times New Roman"/>
          <w:sz w:val="20"/>
          <w:szCs w:val="20"/>
        </w:rPr>
        <w:t xml:space="preserve">The authors read and re-read each of the 69 studies that were identified and selected for inclusion in an active way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&lt;EndNote&gt;&lt;Cite&gt;&lt;Author&gt;Braun&lt;/Author&gt;&lt;Year&gt;2006&lt;/Year&gt;&lt;RecNum&gt;2744&lt;/RecNum&gt;&lt;DisplayText&gt;(Braun &amp;amp; Clarke, 2006)&lt;/DisplayText&gt;&lt;record&gt;&lt;rec-number&gt;2744&lt;/rec-number&gt;&lt;foreign-keys&gt;&lt;key app="EN" db-id="zazt0005c02a9aeaxpdv00p7tpexrpww9r0a" timestamp="1655110289"&gt;2744&lt;/key&gt;&lt;/foreign-keys&gt;&lt;ref-type name="Journal Article"&gt;17&lt;/ref-type&gt;&lt;contributors&gt;&lt;authors&gt;&lt;author&gt;Braun, Virginia&lt;/author&gt;&lt;author&gt;Clarke, Victoria&lt;/author&gt;&lt;/authors&gt;&lt;/contributors&gt;&lt;titles&gt;&lt;title&gt;Using thematic analysis in psychology&lt;/title&gt;&lt;secondary-title&gt;Qualitative research in psychology&lt;/secondary-title&gt;&lt;/titles&gt;&lt;periodical&gt;&lt;full-title&gt;Qualitative research in psychology&lt;/full-title&gt;&lt;/periodical&gt;&lt;pages&gt;77-101&lt;/pages&gt;&lt;volume&gt;3&lt;/volume&gt;&lt;number&gt;2&lt;/number&gt;&lt;dates&gt;&lt;year&gt;2006&lt;/year&gt;&lt;/dates&gt;&lt;isbn&gt;1478-0887&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(Braun &amp; Clarke, 2006)</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This was to get more familiar with the selected studies and further clarify any discrepancies that might have occurred during the selection procedures. Thus, meanings and patterns were identified from the studies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&lt;EndNote&gt;&lt;Cite&gt;&lt;Author&gt;Sinkovics&lt;/Author&gt;&lt;Year&gt;2018&lt;/Year&gt;&lt;RecNum&gt;2748&lt;/RecNum&gt;&lt;DisplayText&gt;(Sinkovics, 2018)&lt;/DisplayText&gt;&lt;record&gt;&lt;rec-number&gt;2748&lt;/rec-number&gt;&lt;foreign-keys&gt;&lt;key app="EN" db-id="zazt0005c02a9aeaxpdv00p7tpexrpww9r0a" timestamp="1655119597"&gt;2748&lt;/key&gt;&lt;/foreign-keys&gt;&lt;ref-type name="Journal Article"&gt;17&lt;/ref-type&gt;&lt;contributors&gt;&lt;authors&gt;&lt;author&gt;Sinkovics, Noemi&lt;/author&gt;&lt;/authors&gt;&lt;/contributors&gt;&lt;titles&gt;&lt;title&gt;Pattern matching in qualitative analysis&lt;/title&gt;&lt;/titles&gt;&lt;dates&gt;&lt;year&gt;2018&lt;/year&gt;&lt;/dates&gt;&lt;isbn&gt;1526429276&lt;/isbn&gt;&lt;urls&gt;&lt;/urls&gt;&lt;/record&gt;&lt;/Cite&gt;&lt;/EndNote&gt;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(Sinkovics, 2018)</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w:t>
      </w:r>
    </w:p>
    <w:p w14:paraId="68806B34" w14:textId="77777777" w:rsidR="00B70B8D" w:rsidRPr="005B5164" w:rsidRDefault="00397AB8" w:rsidP="005977F2">
      <w:pPr>
        <w:spacing w:after="0" w:line="240" w:lineRule="auto"/>
        <w:ind w:leftChars="0" w:left="0" w:firstLineChars="0" w:firstLine="0"/>
        <w:jc w:val="both"/>
        <w:rPr>
          <w:rFonts w:ascii="Times New Roman" w:hAnsi="Times New Roman" w:cs="Times New Roman"/>
          <w:b/>
          <w:bCs/>
          <w:sz w:val="20"/>
          <w:szCs w:val="20"/>
        </w:rPr>
      </w:pPr>
      <w:r w:rsidRPr="005B5164">
        <w:rPr>
          <w:rFonts w:ascii="Times New Roman" w:hAnsi="Times New Roman" w:cs="Times New Roman"/>
          <w:b/>
          <w:bCs/>
          <w:sz w:val="20"/>
          <w:szCs w:val="20"/>
        </w:rPr>
        <w:t>Second Stage: Generating Initial Codes</w:t>
      </w:r>
    </w:p>
    <w:p w14:paraId="219D8887" w14:textId="77777777" w:rsidR="00B70B8D" w:rsidRPr="005B5164" w:rsidRDefault="00397AB8" w:rsidP="002808E4">
      <w:pPr>
        <w:spacing w:after="0" w:line="240" w:lineRule="auto"/>
        <w:ind w:leftChars="0" w:left="0" w:firstLineChars="0" w:firstLine="180"/>
        <w:jc w:val="both"/>
        <w:rPr>
          <w:rFonts w:ascii="Times New Roman" w:hAnsi="Times New Roman" w:cs="Times New Roman"/>
          <w:sz w:val="20"/>
          <w:szCs w:val="20"/>
        </w:rPr>
      </w:pPr>
      <w:r w:rsidRPr="005B5164">
        <w:rPr>
          <w:rFonts w:ascii="Times New Roman" w:hAnsi="Times New Roman" w:cs="Times New Roman"/>
          <w:sz w:val="20"/>
          <w:szCs w:val="20"/>
        </w:rPr>
        <w:t xml:space="preserve">The authors of this study independently identified the concepts, as QSR NVivo codes from empirical studies with theoretical underpinnings, while for the conceptual papers, only key concepts and phrases were considered. When such similar concepts from different studies were seen to have the same functional meaning, we merged them into one concept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&lt;EndNote&gt;&lt;Cite&gt;&lt;Author&gt;Templier&lt;/Author&gt;&lt;Year&gt;2018&lt;/Year&gt;&lt;RecNum&gt;2739&lt;/RecNum&gt;&lt;DisplayText&gt;(Templier &amp;amp; Pare, 2018)&lt;/DisplayText&gt;&lt;record&gt;&lt;rec-number&gt;2739&lt;/rec-number&gt;&lt;foreign-keys&gt;&lt;key app="EN" db-id="zazt0005c02a9aeaxpdv00p7tpexrpww9r0a" timestamp="1655104988"&gt;2739&lt;/key&gt;&lt;/foreign-keys&gt;&lt;ref-type name="Journal Article"&gt;17&lt;/ref-type&gt;&lt;contributors&gt;&lt;authors&gt;&lt;author&gt;Templier, Mathieu&lt;/author&gt;&lt;author&gt;Pare, Guy&lt;/author&gt;&lt;/authors&gt;&lt;/contributors&gt;&lt;titles&gt;&lt;title&gt;Transparency in literature reviews: an assessment of reporting practices across review types and genres in top IS journals&lt;/title&gt;&lt;secondary-title&gt;European Journal of Information Systems&lt;/secondary-title&gt;&lt;/titles&gt;&lt;periodical&gt;&lt;full-title&gt;European Journal of Information Systems&lt;/full-title&gt;&lt;/periodical&gt;&lt;pages&gt;503-550&lt;/pages&gt;&lt;volume&gt;27&lt;/volume&gt;&lt;number&gt;5&lt;/number&gt;&lt;dates&gt;&lt;year&gt;2018&lt;/year&gt;&lt;/dates&gt;&lt;isbn&gt;0960-085X&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(Templier &amp; Pare, 2018)</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The aggregate of the concepts now forms the first order concepts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&lt;EndNote&gt;&lt;Cite&gt;&lt;Author&gt;Gioia&lt;/Author&gt;&lt;Year&gt;2013&lt;/Year&gt;&lt;RecNum&gt;2745&lt;/RecNum&gt;&lt;DisplayText&gt;(Gioia et al., 2013; Sinkovics, 2018)&lt;/DisplayText&gt;&lt;record&gt;&lt;rec-number&gt;2745&lt;/rec-number&gt;&lt;foreign-keys&gt;&lt;key app="EN" db-id="zazt0005c02a9aeaxpdv00p7tpexrpww9r0a" timestamp="1655112084"&gt;2745&lt;/key&gt;&lt;/foreign-keys&gt;&lt;ref-type name="Journal Article"&gt;17&lt;/ref-type&gt;&lt;contributors&gt;&lt;authors&gt;&lt;author&gt;Gioia, Dennis A&lt;/author&gt;&lt;author&gt;Corley, Kevin G&lt;/author&gt;&lt;author&gt;Hamilton, Aimee L&lt;/author&gt;&lt;/authors&gt;&lt;/contributors&gt;&lt;titles&gt;&lt;title&gt;Seeking qualitative rigor in inductive research: Notes on the Gioia methodology&lt;/title&gt;&lt;secondary-title&gt;Organizational research methods&lt;/secondary-title&gt;&lt;/titles&gt;&lt;periodical&gt;&lt;full-title&gt;Organizational research methods&lt;/full-title&gt;&lt;/periodical&gt;&lt;pages&gt;15-31&lt;/pages&gt;&lt;volume&gt;16&lt;/volume&gt;&lt;number&gt;1&lt;/number&gt;&lt;dates&gt;&lt;year&gt;2013&lt;/year&gt;&lt;/dates&gt;&lt;isbn&gt;1094-4281&lt;/isbn&gt;&lt;urls&gt;&lt;/urls&gt;&lt;/record&gt;&lt;/Cite&gt;&lt;Cite&gt;&lt;Author&gt;Sinkovics&lt;/Author&gt;&lt;Year&gt;2018&lt;/Year&gt;&lt;RecNum&gt;2748&lt;/RecNum&gt;&lt;record&gt;&lt;rec-number&gt;2748&lt;/rec-number&gt;&lt;foreign-keys&gt;&lt;key app="EN" db-id="zazt0005c02a9aeaxpdv00p7tpexrpww9r0a" timestamp="1655119597"&gt;2748&lt;/key&gt;&lt;/foreign-keys&gt;&lt;ref-type name="Journal Article"&gt;17&lt;/ref-type&gt;&lt;contributors&gt;&lt;authors&gt;&lt;author&gt;Sinkovics, Noemi&lt;/author&gt;&lt;/authors&gt;&lt;/contributors&gt;&lt;titles&gt;&lt;title&gt;Pattern matching in qualitative analysis&lt;/title&gt;&lt;/titles&gt;&lt;dates&gt;&lt;year&gt;2018&lt;/year&gt;&lt;/dates&gt;&lt;isbn&gt;1526429276&lt;/isbn&gt;&lt;urls&gt;&lt;/urls&gt;&lt;/record&gt;&lt;/Cite&gt;&lt;/EndNote&gt;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(Gioia et al., 2013; Sinkovics, 2018)</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or basic codes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&lt;EndNote&gt;&lt;Cite&gt;&lt;Author&gt;Braun&lt;/Author&gt;&lt;Year&gt;2006&lt;/Year&gt;&lt;RecNum&gt;2744&lt;/RecNum&gt;&lt;DisplayText&gt;(Braun &amp;amp; Clarke, 2006)&lt;/DisplayText&gt;&lt;record&gt;&lt;rec-number&gt;2744&lt;/rec-number&gt;&lt;foreign-keys&gt;&lt;key app="EN" db-id="zazt0005c02a9aeaxpdv00p7tpexrpww9r0a" timestamp="1655110289"&gt;2744&lt;/key&gt;&lt;/foreign-keys&gt;&lt;ref-type name="Journal Article"&gt;17&lt;/ref-type&gt;&lt;contributors&gt;&lt;authors&gt;&lt;author&gt;Braun, Virginia&lt;/author&gt;&lt;author&gt;Clarke, Victoria&lt;/author&gt;&lt;/authors&gt;&lt;/contributors&gt;&lt;titles&gt;&lt;title&gt;Using thematic analysis in psychology&lt;/title&gt;&lt;secondary-title&gt;Qualitative research in psychology&lt;/secondary-title&gt;&lt;/titles&gt;&lt;periodical&gt;&lt;full-title&gt;Qualitative research in psychology&lt;/full-title&gt;&lt;/periodical&gt;&lt;pages&gt;77-101&lt;/pages&gt;&lt;volume&gt;3&lt;/volume&gt;&lt;number&gt;2&lt;/number&gt;&lt;dates&gt;&lt;year&gt;2006&lt;/year&gt;&lt;/dates&gt;&lt;isbn&gt;1478-0887&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(Braun &amp; Clarke, 2006)</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A consensus was reached after comparing the codes found by the authors, and through mutual agreement, all the discrepancies were resolved, in which the first order categories emerged as shown in </w:t>
      </w:r>
      <w:r w:rsidRPr="005B5164">
        <w:rPr>
          <w:rFonts w:ascii="Times New Roman" w:hAnsi="Times New Roman" w:cs="Times New Roman"/>
          <w:b/>
          <w:bCs/>
          <w:sz w:val="20"/>
          <w:szCs w:val="20"/>
        </w:rPr>
        <w:t>Figure 2</w:t>
      </w:r>
      <w:r w:rsidRPr="005B5164">
        <w:rPr>
          <w:rFonts w:ascii="Times New Roman" w:hAnsi="Times New Roman" w:cs="Times New Roman"/>
          <w:sz w:val="20"/>
          <w:szCs w:val="20"/>
        </w:rPr>
        <w:t xml:space="preserve">.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 AuthorYear="1"&gt;&lt;Author&gt;Ravasi&lt;/Author&gt;&lt;Year&gt;2011&lt;/Year&gt;&lt;RecNum&gt;2746&lt;/RecNum&gt;&lt;DisplayText&gt;Ravasi and Phillips (2011)&lt;/DisplayText&gt;&lt;record&gt;&lt;rec-number&gt;2746&lt;/rec-number&gt;&lt;foreign-keys&gt;&lt;key app="EN" db-id="zazt0005c02a9aeaxpdv00p7tpexrpww9r0a" timestamp="1655112268"&gt;2746&lt;/key&gt;&lt;/foreign-keys&gt;&lt;ref-type name="Journal Article"&gt;17&lt;/ref-type&gt;&lt;contributors&gt;&lt;authors&gt;&lt;author&gt;Ravasi, Davide&lt;/author&gt;&lt;author&gt;Phillips, Nelson&lt;/author&gt;&lt;/authors&gt;&lt;/contributors&gt;&lt;titles&gt;&lt;title&gt;Strategies of alignment: Organizational identity management and strategic change at Bang &amp;amp; Olufsen&lt;/title&gt;&lt;secondary-title&gt;Strategic Organization&lt;/secondary-title&gt;&lt;/titles&gt;&lt;periodical&gt;&lt;full-title&gt;Strategic Organization&lt;/full-title&gt;&lt;/periodical&gt;&lt;pages&gt;103-135&lt;/pages&gt;&lt;volume&gt;9&lt;/volume&gt;&lt;number&gt;2&lt;/number&gt;&lt;dates&gt;&lt;year&gt;2011&lt;/year&gt;&lt;/dates&gt;&lt;isbn&gt;1476-1270&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Ravasi and Phillips (2011)</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stated that the second stage is what made us switch from temporary to more permanent categories.</w:t>
      </w:r>
    </w:p>
    <w:p w14:paraId="338B6654" w14:textId="77777777" w:rsidR="00B70B8D" w:rsidRPr="005B5164" w:rsidRDefault="00397AB8" w:rsidP="005977F2">
      <w:pPr>
        <w:spacing w:after="0" w:line="240" w:lineRule="auto"/>
        <w:ind w:leftChars="0" w:left="0" w:firstLineChars="0" w:firstLine="0"/>
        <w:jc w:val="both"/>
        <w:rPr>
          <w:rFonts w:ascii="Times New Roman" w:hAnsi="Times New Roman" w:cs="Times New Roman"/>
          <w:sz w:val="20"/>
          <w:szCs w:val="20"/>
        </w:rPr>
      </w:pPr>
      <w:r w:rsidRPr="005B5164">
        <w:rPr>
          <w:rFonts w:ascii="Times New Roman" w:hAnsi="Times New Roman" w:cs="Times New Roman"/>
          <w:noProof/>
          <w:sz w:val="20"/>
          <w:szCs w:val="20"/>
        </w:rPr>
        <w:drawing>
          <wp:inline distT="0" distB="0" distL="0" distR="0" wp14:anchorId="34ED87E1" wp14:editId="2CB39E91">
            <wp:extent cx="6329081" cy="2437075"/>
            <wp:effectExtent l="0" t="0" r="0" b="1905"/>
            <wp:docPr id="10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rotWithShape="1">
                    <a:blip r:embed="rId15" cstate="print">
                      <a:extLst>
                        <a:ext uri="{28A0092B-C50C-407E-A947-70E740481C1C}">
                          <a14:useLocalDpi xmlns:a14="http://schemas.microsoft.com/office/drawing/2010/main" val="0"/>
                        </a:ext>
                      </a:extLst>
                    </a:blip>
                    <a:srcRect/>
                    <a:stretch>
                      <a:fillRect/>
                    </a:stretch>
                  </pic:blipFill>
                  <pic:spPr>
                    <a:xfrm>
                      <a:off x="0" y="0"/>
                      <a:ext cx="6369482" cy="2452632"/>
                    </a:xfrm>
                    <a:prstGeom prst="rect">
                      <a:avLst/>
                    </a:prstGeom>
                  </pic:spPr>
                </pic:pic>
              </a:graphicData>
            </a:graphic>
          </wp:inline>
        </w:drawing>
      </w:r>
    </w:p>
    <w:p w14:paraId="05E182B4" w14:textId="77777777" w:rsidR="00B70B8D" w:rsidRPr="005B5164" w:rsidRDefault="00397AB8" w:rsidP="005977F2">
      <w:pPr>
        <w:spacing w:after="0" w:line="240" w:lineRule="auto"/>
        <w:ind w:leftChars="0" w:left="0" w:firstLineChars="0" w:firstLine="0"/>
        <w:jc w:val="center"/>
        <w:rPr>
          <w:rFonts w:ascii="Times New Roman" w:hAnsi="Times New Roman" w:cs="Times New Roman"/>
          <w:b/>
          <w:bCs/>
          <w:sz w:val="20"/>
          <w:szCs w:val="20"/>
        </w:rPr>
      </w:pPr>
      <w:r w:rsidRPr="005B5164">
        <w:rPr>
          <w:rFonts w:ascii="Times New Roman" w:hAnsi="Times New Roman" w:cs="Times New Roman"/>
          <w:b/>
          <w:bCs/>
          <w:sz w:val="20"/>
          <w:szCs w:val="20"/>
        </w:rPr>
        <w:t>Figure 2: Thematic Data Analysis Process (Concept Mapping)</w:t>
      </w:r>
    </w:p>
    <w:p w14:paraId="375FF33B" w14:textId="77777777" w:rsidR="00B70B8D" w:rsidRPr="005B5164" w:rsidRDefault="00397AB8" w:rsidP="005977F2">
      <w:pPr>
        <w:spacing w:after="0" w:line="240" w:lineRule="auto"/>
        <w:ind w:leftChars="0" w:left="0" w:firstLineChars="0" w:firstLine="0"/>
        <w:jc w:val="both"/>
        <w:rPr>
          <w:rFonts w:ascii="Times New Roman" w:hAnsi="Times New Roman" w:cs="Times New Roman"/>
          <w:b/>
          <w:bCs/>
          <w:sz w:val="20"/>
          <w:szCs w:val="20"/>
        </w:rPr>
      </w:pPr>
      <w:r w:rsidRPr="005B5164">
        <w:rPr>
          <w:rFonts w:ascii="Times New Roman" w:hAnsi="Times New Roman" w:cs="Times New Roman"/>
          <w:b/>
          <w:bCs/>
          <w:sz w:val="20"/>
          <w:szCs w:val="20"/>
        </w:rPr>
        <w:lastRenderedPageBreak/>
        <w:t>Third Stage: Development of Themes</w:t>
      </w:r>
    </w:p>
    <w:p w14:paraId="7702EEFA" w14:textId="77777777" w:rsidR="00B70B8D" w:rsidRPr="005B5164" w:rsidRDefault="00397AB8" w:rsidP="002808E4">
      <w:pPr>
        <w:spacing w:after="0" w:line="240" w:lineRule="auto"/>
        <w:ind w:leftChars="0" w:left="0" w:firstLineChars="0" w:firstLine="180"/>
        <w:jc w:val="both"/>
        <w:rPr>
          <w:rFonts w:ascii="Times New Roman" w:hAnsi="Times New Roman" w:cs="Times New Roman"/>
          <w:sz w:val="20"/>
          <w:szCs w:val="20"/>
        </w:rPr>
      </w:pPr>
      <w:r w:rsidRPr="005B5164">
        <w:rPr>
          <w:rFonts w:ascii="Times New Roman" w:hAnsi="Times New Roman" w:cs="Times New Roman"/>
          <w:sz w:val="20"/>
          <w:szCs w:val="20"/>
        </w:rPr>
        <w:t xml:space="preserve">Conceptual relations emerged among the emerging categories while grouping the codes that were kept close to the sliced-out concepts from the research evaluated, which were sorted into first-order categories. As a result, we merged first-order categories into fewer, larger, and potentially more relevant second-order categories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&lt;EndNote&gt;&lt;Cite&gt;&lt;Author&gt;Ravasi&lt;/Author&gt;&lt;Year&gt;2011&lt;/Year&gt;&lt;RecNum&gt;2746&lt;/RecNum&gt;&lt;DisplayText&gt;(Ravasi &amp;amp; Phillips, 2011)&lt;/DisplayText&gt;&lt;record&gt;&lt;rec-number&gt;2746&lt;/rec-number&gt;&lt;foreign-keys&gt;&lt;key app="EN" db-id="zazt0005c02a9aeaxpdv00p7tpexrpww9r0a" timestamp="1655112268"&gt;2746&lt;/key&gt;&lt;/foreign-keys&gt;&lt;ref-type name="Journal Article"&gt;17&lt;/ref-type&gt;&lt;contributors&gt;&lt;authors&gt;&lt;author&gt;Ravasi, Davide&lt;/author&gt;&lt;author&gt;Phillips, Nelson&lt;/author&gt;&lt;/authors&gt;&lt;/contributors&gt;&lt;titles&gt;&lt;title&gt;Strategies of alignment: Organizational identity management and strategic change at Bang &amp;amp; Olufsen&lt;/title&gt;&lt;secondary-title&gt;Strategic Organization&lt;/secondary-title&gt;&lt;/titles&gt;&lt;periodical&gt;&lt;full-title&gt;Strategic Organization&lt;/full-title&gt;&lt;/periodical&gt;&lt;pages&gt;103-135&lt;/pages&gt;&lt;volume&gt;9&lt;/volume&gt;&lt;number&gt;2&lt;/number&gt;&lt;dates&gt;&lt;year&gt;2011&lt;/year&gt;&lt;/dates&gt;&lt;isbn&gt;1476-1270&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(Ravasi &amp; Phillips, 2011)</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The second-order categories suggest paying particular attention to them in order to solve the study’s overarching research questions. We carefully evaluated our first-order categories and their content across the 69 papers as the process progressed, looking for concepts that would – or would not – fit with each emerging category. We agreed to reframe or redefine some ideas when we realized that they had different meanings but were still basically the same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&lt;EndNote&gt;&lt;Cite&gt;&lt;Author&gt;Braun&lt;/Author&gt;&lt;Year&gt;2006&lt;/Year&gt;&lt;RecNum&gt;2744&lt;/RecNum&gt;&lt;DisplayText&gt;(Braun &amp;amp; Clarke, 2006; Gioia et al., 2013)&lt;/DisplayText&gt;&lt;record&gt;&lt;rec-number&gt;2744&lt;/rec-number&gt;&lt;foreign-keys&gt;&lt;key app="EN" db-id="zazt0005c02a9aeaxpdv00p7tpexrpww9r0a" timestamp="1655110289"&gt;2744&lt;/key&gt;&lt;/foreign-keys&gt;&lt;ref-type name="Journal Article"&gt;17&lt;/ref-type&gt;&lt;contributors&gt;&lt;authors&gt;&lt;author&gt;Braun, Virginia&lt;/author&gt;&lt;author&gt;Clarke, Victoria&lt;/author&gt;&lt;/authors&gt;&lt;/contributors&gt;&lt;titles&gt;&lt;title&gt;Using thematic analysis in psychology&lt;/title&gt;&lt;secondary-title&gt;Qualitative research in psychology&lt;/secondary-title&gt;&lt;/titles&gt;&lt;periodical&gt;&lt;full-title&gt;Qualitative research in psychology&lt;/full-title&gt;&lt;/periodical&gt;&lt;pages&gt;77-101&lt;/pages&gt;&lt;volume&gt;3&lt;/volume&gt;&lt;number&gt;2&lt;/number&gt;&lt;dates&gt;&lt;year&gt;2006&lt;/year&gt;&lt;/dates&gt;&lt;isbn&gt;1478-0887&lt;/isbn&gt;&lt;urls&gt;&lt;/urls&gt;&lt;/record&gt;&lt;/Cite&gt;&lt;Cite&gt;&lt;Author&gt;Gioia&lt;/Author&gt;&lt;Year&gt;2013&lt;/Year&gt;&lt;RecNum&gt;2745&lt;/RecNum&gt;&lt;record&gt;&lt;rec-number&gt;2745&lt;/rec-number&gt;&lt;foreign-keys&gt;&lt;key app="EN" db-id="zazt0005c02a9aeaxpdv00p7tpexrpww9r0a" timestamp="1655112084"&gt;2745&lt;/key&gt;&lt;/foreign-keys&gt;&lt;ref-type name="Journal Article"&gt;17&lt;/ref-type&gt;&lt;contributors&gt;&lt;authors&gt;&lt;author&gt;Gioia, Dennis A&lt;/author&gt;&lt;author&gt;Corley, Kevin G&lt;/author&gt;&lt;author&gt;Hamilton, Aimee L&lt;/author&gt;&lt;/authors&gt;&lt;/contributors&gt;&lt;titles&gt;&lt;title&gt;Seeking qualitative rigor in inductive research: Notes on the Gioia methodology&lt;/title&gt;&lt;secondary-title&gt;Organizational research methods&lt;/secondary-title&gt;&lt;/titles&gt;&lt;periodical&gt;&lt;full-title&gt;Organizational research methods&lt;/full-title&gt;&lt;/periodical&gt;&lt;pages&gt;15-31&lt;/pages&gt;&lt;volume&gt;16&lt;/volume&gt;&lt;number&gt;1&lt;/number&gt;&lt;dates&gt;&lt;year&gt;2013&lt;/year&gt;&lt;/dates&gt;&lt;isbn&gt;1094-4281&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(Braun &amp; Clarke, 2006; Gioia et al., 2013)</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w:t>
      </w:r>
    </w:p>
    <w:p w14:paraId="4696F723" w14:textId="77777777" w:rsidR="00B70B8D" w:rsidRPr="005B5164" w:rsidRDefault="00397AB8" w:rsidP="005977F2">
      <w:pPr>
        <w:spacing w:after="0" w:line="240" w:lineRule="auto"/>
        <w:ind w:leftChars="0" w:left="0" w:firstLineChars="0" w:firstLine="0"/>
        <w:jc w:val="both"/>
        <w:rPr>
          <w:rFonts w:ascii="Times New Roman" w:hAnsi="Times New Roman" w:cs="Times New Roman"/>
          <w:b/>
          <w:bCs/>
          <w:sz w:val="20"/>
          <w:szCs w:val="20"/>
        </w:rPr>
      </w:pPr>
      <w:r w:rsidRPr="005B5164">
        <w:rPr>
          <w:rFonts w:ascii="Times New Roman" w:hAnsi="Times New Roman" w:cs="Times New Roman"/>
          <w:b/>
          <w:bCs/>
          <w:sz w:val="20"/>
          <w:szCs w:val="20"/>
        </w:rPr>
        <w:t>Fourth Stage: Review of Themes</w:t>
      </w:r>
    </w:p>
    <w:p w14:paraId="2893DF8B" w14:textId="77777777" w:rsidR="00B70B8D" w:rsidRPr="005B5164" w:rsidRDefault="00397AB8" w:rsidP="002808E4">
      <w:pPr>
        <w:spacing w:after="0" w:line="240" w:lineRule="auto"/>
        <w:ind w:leftChars="0" w:left="0" w:firstLineChars="0" w:firstLine="180"/>
        <w:jc w:val="both"/>
        <w:rPr>
          <w:rFonts w:ascii="Times New Roman" w:hAnsi="Times New Roman" w:cs="Times New Roman"/>
          <w:sz w:val="20"/>
          <w:szCs w:val="20"/>
        </w:rPr>
      </w:pPr>
      <w:r w:rsidRPr="005B5164">
        <w:rPr>
          <w:rFonts w:ascii="Times New Roman" w:hAnsi="Times New Roman" w:cs="Times New Roman"/>
          <w:sz w:val="20"/>
          <w:szCs w:val="20"/>
        </w:rPr>
        <w:t xml:space="preserve">We thoroughly ran through the full data set for contradictory findings, then continued developing our second-order theme until saturation is reached by engaging in constant comparison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&lt;EndNote&gt;&lt;Cite&gt;&lt;Author&gt;Belgrave&lt;/Author&gt;&lt;Year&gt;2019&lt;/Year&gt;&lt;RecNum&gt;2747&lt;/RecNum&gt;&lt;DisplayText&gt;(Belgrave &amp;amp; Seide, 2019; Braun &amp;amp; Clarke, 2006)&lt;/DisplayText&gt;&lt;record&gt;&lt;rec-number&gt;2747&lt;/rec-number&gt;&lt;foreign-keys&gt;&lt;key app="EN" db-id="zazt0005c02a9aeaxpdv00p7tpexrpww9r0a" timestamp="1655118851"&gt;2747&lt;/key&gt;&lt;/foreign-keys&gt;&lt;ref-type name="Journal Article"&gt;17&lt;/ref-type&gt;&lt;contributors&gt;&lt;authors&gt;&lt;author&gt;Belgrave, L&lt;/author&gt;&lt;author&gt;Seide, Kapriskie&lt;/author&gt;&lt;/authors&gt;&lt;/contributors&gt;&lt;titles&gt;&lt;title&gt;Coding for grounded theory&lt;/title&gt;&lt;secondary-title&gt;The SAGE handbook of current developments in grounded theory&lt;/secondary-title&gt;&lt;/titles&gt;&lt;periodical&gt;&lt;full-title&gt;The SAGE handbook of current developments in grounded theory&lt;/full-title&gt;&lt;/periodical&gt;&lt;pages&gt;167-185&lt;/pages&gt;&lt;dates&gt;&lt;year&gt;2019&lt;/year&gt;&lt;/dates&gt;&lt;urls&gt;&lt;/urls&gt;&lt;/record&gt;&lt;/Cite&gt;&lt;Cite&gt;&lt;Author&gt;Braun&lt;/Author&gt;&lt;Year&gt;2006&lt;/Year&gt;&lt;RecNum&gt;2744&lt;/RecNum&gt;&lt;record&gt;&lt;rec-number&gt;2744&lt;/rec-number&gt;&lt;foreign-keys&gt;&lt;key app="EN" db-id="zazt0005c02a9aeaxpdv00p7tpexrpww9r0a" timestamp="1655110289"&gt;2744&lt;/key&gt;&lt;/foreign-keys&gt;&lt;ref-type name="Journal Article"&gt;17&lt;/ref-type&gt;&lt;contributors&gt;&lt;authors&gt;&lt;author&gt;Braun, Virginia&lt;/author&gt;&lt;author&gt;Clarke, Victoria&lt;/author&gt;&lt;/authors&gt;&lt;/contributors&gt;&lt;titles&gt;&lt;title&gt;Using thematic analysis in psychology&lt;/title&gt;&lt;secondary-title&gt;Qualitative research in psychology&lt;/secondary-title&gt;&lt;/titles&gt;&lt;periodical&gt;&lt;full-title&gt;Qualitative research in psychology&lt;/full-title&gt;&lt;/periodical&gt;&lt;pages&gt;77-101&lt;/pages&gt;&lt;volume&gt;3&lt;/volume&gt;&lt;number&gt;2&lt;/number&gt;&lt;dates&gt;&lt;year&gt;2006&lt;/year&gt;&lt;/dates&gt;&lt;isbn&gt;1478-0887&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(Belgrave &amp; Seide, 2019; Braun &amp; Clarke, 2006)</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Here, a thought or a phrase is compared to all prior concepts or phrases, rather than being analyzed on its own. We realized that the constant comparison process yielded theoretical attributes of second</w:t>
      </w:r>
      <w:r w:rsidRPr="005B5164">
        <w:rPr>
          <w:rFonts w:ascii="Times New Roman" w:hAnsi="Times New Roman" w:cs="Times New Roman"/>
          <w:sz w:val="20"/>
          <w:szCs w:val="20"/>
        </w:rPr>
        <w:noBreakHyphen/>
        <w:t xml:space="preserve">order categories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&lt;EndNote&gt;&lt;Cite&gt;&lt;Author&gt;Belgrave&lt;/Author&gt;&lt;Year&gt;2019&lt;/Year&gt;&lt;RecNum&gt;2747&lt;/RecNum&gt;&lt;DisplayText&gt;(Belgrave &amp;amp; Seide, 2019)&lt;/DisplayText&gt;&lt;record&gt;&lt;rec-number&gt;2747&lt;/rec-number&gt;&lt;foreign-keys&gt;&lt;key app="EN" db-id="zazt0005c02a9aeaxpdv00p7tpexrpww9r0a" timestamp="1655118851"&gt;2747&lt;/key&gt;&lt;/foreign-keys&gt;&lt;ref-type name="Journal Article"&gt;17&lt;/ref-type&gt;&lt;contributors&gt;&lt;authors&gt;&lt;author&gt;Belgrave, L&lt;/author&gt;&lt;author&gt;Seide, Kapriskie&lt;/author&gt;&lt;/authors&gt;&lt;/contributors&gt;&lt;titles&gt;&lt;title&gt;Coding for grounded theory&lt;/title&gt;&lt;secondary-title&gt;The SAGE handbook of current developments in grounded theory&lt;/secondary-title&gt;&lt;/titles&gt;&lt;periodical&gt;&lt;full-title&gt;The SAGE handbook of current developments in grounded theory&lt;/full-title&gt;&lt;/periodical&gt;&lt;pages&gt;167-185&lt;/pages&gt;&lt;dates&gt;&lt;year&gt;2019&lt;/year&gt;&lt;/dates&gt;&lt;urls&gt;&lt;/urls&gt;&lt;/record&gt;&lt;/Cite&gt;&lt;/EndNote&gt;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(Belgrave &amp; Seide, 2019)</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As a result, we began to notice the extent of the categories, the variables that influenced them, the relationship between them, and the categories’ antecedents and effects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&lt;EndNote&gt;&lt;Cite&gt;&lt;Author&gt;Belgrave&lt;/Author&gt;&lt;Year&gt;2019&lt;/Year&gt;&lt;RecNum&gt;2747&lt;/RecNum&gt;&lt;DisplayText&gt;(Belgrave &amp;amp; Seide, 2019)&lt;/DisplayText&gt;&lt;record&gt;&lt;rec-number&gt;2747&lt;/rec-number&gt;&lt;foreign-keys&gt;&lt;key app="EN" db-id="zazt0005c02a9aeaxpdv00p7tpexrpww9r0a" timestamp="1655118851"&gt;2747&lt;/key&gt;&lt;/foreign-keys&gt;&lt;ref-type name="Journal Article"&gt;17&lt;/ref-type&gt;&lt;contributors&gt;&lt;authors&gt;&lt;author&gt;Belgrave, L&lt;/author&gt;&lt;author&gt;Seide, Kapriskie&lt;/author&gt;&lt;/authors&gt;&lt;/contributors&gt;&lt;titles&gt;&lt;title&gt;Coding for grounded theory&lt;/title&gt;&lt;secondary-title&gt;The SAGE handbook of current developments in grounded theory&lt;/secondary-title&gt;&lt;/titles&gt;&lt;periodical&gt;&lt;full-title&gt;The SAGE handbook of current developments in grounded theory&lt;/full-title&gt;&lt;/periodical&gt;&lt;pages&gt;167-185&lt;/pages&gt;&lt;dates&gt;&lt;year&gt;2019&lt;/year&gt;&lt;/dates&gt;&lt;urls&gt;&lt;/urls&gt;&lt;/record&gt;&lt;/Cite&gt;&lt;/EndNote&gt;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(Belgrave &amp; Seide, 2019)</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w:t>
      </w:r>
      <w:r w:rsidRPr="005B5164">
        <w:rPr>
          <w:rFonts w:ascii="Times New Roman" w:hAnsi="Times New Roman" w:cs="Times New Roman"/>
          <w:color w:val="FF0000"/>
          <w:sz w:val="20"/>
          <w:szCs w:val="20"/>
        </w:rPr>
        <w:t xml:space="preserve"> </w:t>
      </w:r>
    </w:p>
    <w:p w14:paraId="4BF3AB91" w14:textId="77777777" w:rsidR="00B70B8D" w:rsidRPr="005B5164" w:rsidRDefault="00397AB8" w:rsidP="005977F2">
      <w:pPr>
        <w:spacing w:after="0" w:line="240" w:lineRule="auto"/>
        <w:ind w:leftChars="0" w:left="0" w:firstLineChars="0" w:firstLine="0"/>
        <w:jc w:val="both"/>
        <w:rPr>
          <w:rFonts w:ascii="Times New Roman" w:hAnsi="Times New Roman" w:cs="Times New Roman"/>
          <w:b/>
          <w:bCs/>
          <w:sz w:val="20"/>
          <w:szCs w:val="20"/>
        </w:rPr>
      </w:pPr>
      <w:r w:rsidRPr="005B5164">
        <w:rPr>
          <w:rFonts w:ascii="Times New Roman" w:hAnsi="Times New Roman" w:cs="Times New Roman"/>
          <w:b/>
          <w:bCs/>
          <w:sz w:val="20"/>
          <w:szCs w:val="20"/>
        </w:rPr>
        <w:t>The Fifth Stage: Defining and Naming Themes</w:t>
      </w:r>
    </w:p>
    <w:p w14:paraId="5E09ABDF" w14:textId="77777777" w:rsidR="00B70B8D" w:rsidRPr="005B5164" w:rsidRDefault="00397AB8" w:rsidP="002808E4">
      <w:pPr>
        <w:spacing w:after="0" w:line="240" w:lineRule="auto"/>
        <w:ind w:leftChars="0" w:left="0" w:firstLineChars="0" w:firstLine="180"/>
        <w:jc w:val="both"/>
        <w:rPr>
          <w:rFonts w:ascii="Times New Roman" w:hAnsi="Times New Roman" w:cs="Times New Roman"/>
          <w:sz w:val="20"/>
          <w:szCs w:val="20"/>
        </w:rPr>
      </w:pPr>
      <w:r w:rsidRPr="005B5164">
        <w:rPr>
          <w:rFonts w:ascii="Times New Roman" w:hAnsi="Times New Roman" w:cs="Times New Roman"/>
          <w:sz w:val="20"/>
          <w:szCs w:val="20"/>
        </w:rPr>
        <w:t xml:space="preserve">Educational technological affordances, learning context, and dialogic activities were formed by combining second-order categories to establish three bigger encompassing themes. Furthermore, we saw how the three selected overarching themes cluster around a core subject (epistemological access), which is similar to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 AuthorYear="1"&gt;&lt;Author&gt;Strauss&lt;/Author&gt;&lt;Year&gt;1998&lt;/Year&gt;&lt;RecNum&gt;2749&lt;/RecNum&gt;&lt;DisplayText&gt;Strauss and Corbin (1998)&lt;/DisplayText&gt;&lt;record&gt;&lt;rec-number&gt;2749&lt;/rec-number&gt;&lt;foreign-keys&gt;&lt;key app="EN" db-id="zazt0005c02a9aeaxpdv00p7tpexrpww9r0a" timestamp="1655119768"&gt;2749&lt;/key&gt;&lt;/foreign-keys&gt;&lt;ref-type name="Journal Article"&gt;17&lt;/ref-type&gt;&lt;contributors&gt;&lt;authors&gt;&lt;author&gt;Strauss, A&lt;/author&gt;&lt;author&gt;Corbin, J&lt;/author&gt;&lt;/authors&gt;&lt;/contributors&gt;&lt;titles&gt;&lt;title&gt;Sage publications; Thousand Oaks, CA.&lt;/title&gt;&lt;secondary-title&gt;Basics of qualitative research: techniques and procedures for developing grounded theory.[Google Scholar]&lt;/secondary-title&gt;&lt;/titles&gt;&lt;periodical&gt;&lt;full-title&gt;Basics of qualitative research: techniques and procedures for developing grounded theory.[Google Scholar]&lt;/full-title&gt;&lt;/periodical&gt;&lt;dates&gt;&lt;year&gt;1998&lt;/year&gt;&lt;/dates&gt;&lt;urls&gt;&lt;/urls&gt;&lt;/record&gt;&lt;/Cite&gt;&lt;/EndNote&gt;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Strauss and Corbin (1998)</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selective coding approach, as we noted in the memo. Similarly, we noticed that the categories were potentially saturated. </w:t>
      </w:r>
      <w:r w:rsidRPr="005B5164">
        <w:rPr>
          <w:rFonts w:ascii="Times New Roman" w:hAnsi="Times New Roman" w:cs="Times New Roman"/>
          <w:b/>
          <w:bCs/>
          <w:sz w:val="20"/>
          <w:szCs w:val="20"/>
        </w:rPr>
        <w:t>Figure 2</w:t>
      </w:r>
      <w:r w:rsidRPr="005B5164">
        <w:rPr>
          <w:rFonts w:ascii="Times New Roman" w:hAnsi="Times New Roman" w:cs="Times New Roman"/>
          <w:sz w:val="20"/>
          <w:szCs w:val="20"/>
        </w:rPr>
        <w:t xml:space="preserve"> depicts the entire data structure that resulted from this procedure, including the first</w:t>
      </w:r>
      <w:r w:rsidRPr="005B5164">
        <w:rPr>
          <w:rFonts w:ascii="Times New Roman" w:hAnsi="Times New Roman" w:cs="Times New Roman"/>
          <w:sz w:val="20"/>
          <w:szCs w:val="20"/>
        </w:rPr>
        <w:noBreakHyphen/>
        <w:t>order codes and their relations to the second-order categories and their relations, to the major themes, as well as the overarching theme that emerged.</w:t>
      </w:r>
    </w:p>
    <w:p w14:paraId="34136DD1" w14:textId="77777777" w:rsidR="00B70B8D" w:rsidRPr="005B5164" w:rsidRDefault="00397AB8" w:rsidP="005977F2">
      <w:pPr>
        <w:spacing w:after="0" w:line="240" w:lineRule="auto"/>
        <w:ind w:leftChars="0" w:left="0" w:firstLineChars="0" w:firstLine="0"/>
        <w:jc w:val="both"/>
        <w:rPr>
          <w:rFonts w:ascii="Times New Roman" w:hAnsi="Times New Roman" w:cs="Times New Roman"/>
          <w:b/>
          <w:bCs/>
          <w:sz w:val="20"/>
          <w:szCs w:val="20"/>
        </w:rPr>
      </w:pPr>
      <w:r w:rsidRPr="005B5164">
        <w:rPr>
          <w:rFonts w:ascii="Times New Roman" w:hAnsi="Times New Roman" w:cs="Times New Roman"/>
          <w:b/>
          <w:bCs/>
          <w:sz w:val="20"/>
          <w:szCs w:val="20"/>
        </w:rPr>
        <w:t>Sixth Stage: Producing a Report</w:t>
      </w:r>
    </w:p>
    <w:p w14:paraId="6868C2AA" w14:textId="77777777" w:rsidR="00B70B8D" w:rsidRPr="005B5164" w:rsidRDefault="00397AB8" w:rsidP="002808E4">
      <w:pPr>
        <w:spacing w:after="0" w:line="240" w:lineRule="auto"/>
        <w:ind w:leftChars="0" w:left="0" w:firstLineChars="0" w:firstLine="180"/>
        <w:jc w:val="both"/>
        <w:rPr>
          <w:rFonts w:ascii="Times New Roman" w:hAnsi="Times New Roman" w:cs="Times New Roman"/>
          <w:sz w:val="20"/>
          <w:szCs w:val="20"/>
        </w:rPr>
      </w:pPr>
      <w:r w:rsidRPr="005B5164">
        <w:rPr>
          <w:rFonts w:ascii="Times New Roman" w:hAnsi="Times New Roman" w:cs="Times New Roman"/>
          <w:sz w:val="20"/>
          <w:szCs w:val="20"/>
        </w:rPr>
        <w:t>At this stage, the coded data and memos that can be used and worked with in this study have emerged. However, the final analysis and write-up of the report as detailed in the next section is presented.</w:t>
      </w:r>
    </w:p>
    <w:p w14:paraId="1600E880" w14:textId="77777777" w:rsidR="00B70B8D" w:rsidRPr="005B5164" w:rsidRDefault="00397AB8" w:rsidP="005977F2">
      <w:pPr>
        <w:spacing w:after="0" w:line="240" w:lineRule="auto"/>
        <w:ind w:leftChars="0" w:left="0" w:firstLineChars="0" w:firstLine="0"/>
        <w:jc w:val="both"/>
        <w:rPr>
          <w:rFonts w:ascii="Times New Roman" w:hAnsi="Times New Roman" w:cs="Times New Roman"/>
          <w:b/>
          <w:bCs/>
          <w:sz w:val="20"/>
          <w:szCs w:val="20"/>
        </w:rPr>
      </w:pPr>
      <w:r w:rsidRPr="005B5164">
        <w:rPr>
          <w:rFonts w:ascii="Times New Roman" w:hAnsi="Times New Roman" w:cs="Times New Roman"/>
          <w:b/>
          <w:bCs/>
          <w:sz w:val="20"/>
          <w:szCs w:val="20"/>
        </w:rPr>
        <w:t>Findings</w:t>
      </w:r>
    </w:p>
    <w:p w14:paraId="3BE429D4" w14:textId="636811FC" w:rsidR="00B70B8D" w:rsidRPr="005B5164" w:rsidRDefault="00397AB8" w:rsidP="002808E4">
      <w:pPr>
        <w:spacing w:after="0" w:line="240" w:lineRule="auto"/>
        <w:ind w:leftChars="0" w:left="0" w:firstLineChars="0" w:firstLine="180"/>
        <w:jc w:val="both"/>
        <w:rPr>
          <w:rFonts w:ascii="Times New Roman" w:hAnsi="Times New Roman" w:cs="Times New Roman"/>
          <w:sz w:val="20"/>
          <w:szCs w:val="20"/>
        </w:rPr>
      </w:pPr>
      <w:r w:rsidRPr="005B5164">
        <w:rPr>
          <w:rFonts w:ascii="Times New Roman" w:hAnsi="Times New Roman" w:cs="Times New Roman"/>
          <w:sz w:val="20"/>
          <w:szCs w:val="20"/>
        </w:rPr>
        <w:t>In this study, descriptive statistics about the reviewed literature were provided as the first Phase. While the se</w:t>
      </w:r>
      <w:r w:rsidR="009E6F38">
        <w:rPr>
          <w:rFonts w:ascii="Times New Roman" w:hAnsi="Times New Roman" w:cs="Times New Roman"/>
          <w:sz w:val="20"/>
          <w:szCs w:val="20"/>
        </w:rPr>
        <w:t>cond Phase is a discussion of</w:t>
      </w:r>
      <w:r w:rsidRPr="005B5164">
        <w:rPr>
          <w:rFonts w:ascii="Times New Roman" w:hAnsi="Times New Roman" w:cs="Times New Roman"/>
          <w:sz w:val="20"/>
          <w:szCs w:val="20"/>
        </w:rPr>
        <w:t xml:space="preserve"> the main themes: Educational technological affordances, learning context, and dialogic activities as the major themes abstracted and synthesized from the literature review, as shown in </w:t>
      </w:r>
      <w:r w:rsidRPr="005B5164">
        <w:rPr>
          <w:rFonts w:ascii="Times New Roman" w:hAnsi="Times New Roman" w:cs="Times New Roman"/>
          <w:b/>
          <w:bCs/>
          <w:sz w:val="20"/>
          <w:szCs w:val="20"/>
        </w:rPr>
        <w:t>Table 1</w:t>
      </w:r>
      <w:r w:rsidRPr="005B5164">
        <w:rPr>
          <w:rFonts w:ascii="Times New Roman" w:hAnsi="Times New Roman" w:cs="Times New Roman"/>
          <w:sz w:val="20"/>
          <w:szCs w:val="20"/>
        </w:rPr>
        <w:t xml:space="preserve"> for theoretical elaboration. The researchers consider the themes as critical for epistemological access. The descriptive statistics demonstrate the categories of articles, year of publication, methodology used, the countries of focus of selected studies, and specific databases. We commenced with descriptive statistics as detailed in the following section.</w:t>
      </w:r>
    </w:p>
    <w:p w14:paraId="3B256DC0" w14:textId="77777777" w:rsidR="00B70B8D" w:rsidRPr="005B5164" w:rsidRDefault="00397AB8" w:rsidP="005977F2">
      <w:pPr>
        <w:spacing w:after="0" w:line="240" w:lineRule="auto"/>
        <w:ind w:leftChars="0" w:left="0" w:firstLineChars="0" w:firstLine="0"/>
        <w:jc w:val="both"/>
        <w:rPr>
          <w:rFonts w:ascii="Times New Roman" w:hAnsi="Times New Roman" w:cs="Times New Roman"/>
          <w:b/>
          <w:bCs/>
          <w:sz w:val="20"/>
          <w:szCs w:val="20"/>
        </w:rPr>
      </w:pPr>
      <w:r w:rsidRPr="005B5164">
        <w:rPr>
          <w:rFonts w:ascii="Times New Roman" w:hAnsi="Times New Roman" w:cs="Times New Roman"/>
          <w:b/>
          <w:bCs/>
          <w:sz w:val="20"/>
          <w:szCs w:val="20"/>
        </w:rPr>
        <w:t>Descriptive Statistics</w:t>
      </w:r>
    </w:p>
    <w:p w14:paraId="25F04062" w14:textId="77777777" w:rsidR="00B70B8D" w:rsidRPr="005B5164" w:rsidRDefault="00397AB8" w:rsidP="002808E4">
      <w:pPr>
        <w:spacing w:after="0" w:line="240" w:lineRule="auto"/>
        <w:ind w:leftChars="0" w:left="0" w:firstLineChars="0" w:firstLine="180"/>
        <w:jc w:val="both"/>
        <w:rPr>
          <w:rFonts w:ascii="Times New Roman" w:hAnsi="Times New Roman" w:cs="Times New Roman"/>
          <w:sz w:val="20"/>
          <w:szCs w:val="20"/>
        </w:rPr>
      </w:pPr>
      <w:r w:rsidRPr="005B5164">
        <w:rPr>
          <w:rFonts w:ascii="Times New Roman" w:hAnsi="Times New Roman" w:cs="Times New Roman"/>
          <w:sz w:val="20"/>
          <w:szCs w:val="20"/>
        </w:rPr>
        <w:t xml:space="preserve">In this study, we reviewed 69 primary studies in relation to digital technology affordances in contexts for epistemological access; 50 of these studies were published as journal articles between 2016 and 2020. In 2012, only one study was published. Between 2021 and 2022, however, the number of articles published slowly declined, from 4 to 2, as shown in </w:t>
      </w:r>
      <w:r w:rsidRPr="005B5164">
        <w:rPr>
          <w:rFonts w:ascii="Times New Roman" w:hAnsi="Times New Roman" w:cs="Times New Roman"/>
          <w:b/>
          <w:bCs/>
          <w:sz w:val="20"/>
          <w:szCs w:val="20"/>
        </w:rPr>
        <w:t>Figure 3.</w:t>
      </w:r>
    </w:p>
    <w:p w14:paraId="0CE2BD15" w14:textId="77777777" w:rsidR="00B70B8D" w:rsidRPr="005B5164" w:rsidRDefault="00397AB8" w:rsidP="005977F2">
      <w:pPr>
        <w:spacing w:after="0" w:line="240" w:lineRule="auto"/>
        <w:ind w:leftChars="0" w:left="0" w:firstLineChars="0" w:firstLine="0"/>
        <w:jc w:val="center"/>
        <w:rPr>
          <w:rFonts w:ascii="Times New Roman" w:hAnsi="Times New Roman" w:cs="Times New Roman"/>
          <w:b/>
          <w:bCs/>
          <w:sz w:val="20"/>
          <w:szCs w:val="20"/>
        </w:rPr>
      </w:pPr>
      <w:r w:rsidRPr="005B5164">
        <w:rPr>
          <w:rFonts w:ascii="Times New Roman" w:hAnsi="Times New Roman" w:cs="Times New Roman"/>
          <w:noProof/>
          <w:sz w:val="20"/>
          <w:szCs w:val="20"/>
        </w:rPr>
        <w:drawing>
          <wp:inline distT="0" distB="0" distL="114300" distR="114300" wp14:anchorId="05737155" wp14:editId="78BCDB63">
            <wp:extent cx="5843270" cy="1778000"/>
            <wp:effectExtent l="0" t="0" r="5080" b="12700"/>
            <wp:docPr id="1029" name="Image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17C7B0F" w14:textId="77777777" w:rsidR="00B70B8D" w:rsidRPr="005B5164" w:rsidRDefault="00397AB8" w:rsidP="005977F2">
      <w:pPr>
        <w:spacing w:after="0" w:line="240" w:lineRule="auto"/>
        <w:ind w:leftChars="0" w:left="0" w:firstLineChars="0" w:firstLine="0"/>
        <w:jc w:val="center"/>
        <w:rPr>
          <w:rFonts w:ascii="Times New Roman" w:hAnsi="Times New Roman" w:cs="Times New Roman"/>
          <w:b/>
          <w:bCs/>
          <w:sz w:val="20"/>
          <w:szCs w:val="20"/>
        </w:rPr>
      </w:pPr>
      <w:r w:rsidRPr="005B5164">
        <w:rPr>
          <w:rFonts w:ascii="Times New Roman" w:hAnsi="Times New Roman" w:cs="Times New Roman"/>
          <w:b/>
          <w:bCs/>
          <w:sz w:val="20"/>
          <w:szCs w:val="20"/>
        </w:rPr>
        <w:t>Figure 3: Number selected journal paper each year</w:t>
      </w:r>
    </w:p>
    <w:p w14:paraId="4F89E3A3" w14:textId="77777777" w:rsidR="00B70B8D" w:rsidRPr="005B5164" w:rsidRDefault="00397AB8" w:rsidP="005977F2">
      <w:pPr>
        <w:spacing w:after="0" w:line="240" w:lineRule="auto"/>
        <w:ind w:leftChars="0" w:left="0" w:firstLineChars="0" w:firstLine="0"/>
        <w:jc w:val="both"/>
        <w:rPr>
          <w:rFonts w:ascii="Times New Roman" w:hAnsi="Times New Roman" w:cs="Times New Roman"/>
          <w:sz w:val="20"/>
          <w:szCs w:val="20"/>
        </w:rPr>
      </w:pPr>
      <w:r w:rsidRPr="005B5164">
        <w:rPr>
          <w:rFonts w:ascii="Times New Roman" w:hAnsi="Times New Roman" w:cs="Times New Roman"/>
          <w:sz w:val="20"/>
          <w:szCs w:val="20"/>
        </w:rPr>
        <w:t xml:space="preserve">In terms of publication type, more than half (59 articles, i.e., 86%) of the reviewed articles were published as journal papers; 5 (7%) were published as conference papers; and 5 (7%) as books or book sections, as indicated in </w:t>
      </w:r>
      <w:r w:rsidRPr="005B5164">
        <w:rPr>
          <w:rFonts w:ascii="Times New Roman" w:hAnsi="Times New Roman" w:cs="Times New Roman"/>
          <w:b/>
          <w:bCs/>
          <w:sz w:val="20"/>
          <w:szCs w:val="20"/>
        </w:rPr>
        <w:t>Figure 4</w:t>
      </w:r>
      <w:r w:rsidRPr="005B5164">
        <w:rPr>
          <w:rFonts w:ascii="Times New Roman" w:hAnsi="Times New Roman" w:cs="Times New Roman"/>
          <w:sz w:val="20"/>
          <w:szCs w:val="20"/>
        </w:rPr>
        <w:t>.</w:t>
      </w:r>
    </w:p>
    <w:p w14:paraId="77EEC159" w14:textId="77777777" w:rsidR="00B70B8D" w:rsidRPr="005B5164" w:rsidRDefault="00397AB8" w:rsidP="005977F2">
      <w:pPr>
        <w:spacing w:after="0" w:line="240" w:lineRule="auto"/>
        <w:ind w:leftChars="0" w:left="0" w:firstLineChars="0" w:firstLine="0"/>
        <w:jc w:val="both"/>
        <w:rPr>
          <w:rFonts w:ascii="Times New Roman" w:hAnsi="Times New Roman" w:cs="Times New Roman"/>
          <w:noProof/>
          <w:sz w:val="20"/>
          <w:szCs w:val="20"/>
        </w:rPr>
      </w:pPr>
      <w:r w:rsidRPr="005B5164">
        <w:rPr>
          <w:rFonts w:ascii="Times New Roman" w:hAnsi="Times New Roman" w:cs="Times New Roman"/>
          <w:noProof/>
          <w:sz w:val="20"/>
          <w:szCs w:val="20"/>
        </w:rPr>
        <w:lastRenderedPageBreak/>
        <w:drawing>
          <wp:anchor distT="0" distB="0" distL="114300" distR="114300" simplePos="0" relativeHeight="3" behindDoc="1" locked="0" layoutInCell="1" allowOverlap="1" wp14:anchorId="0DB21F15" wp14:editId="5327F448">
            <wp:simplePos x="0" y="0"/>
            <wp:positionH relativeFrom="margin">
              <wp:posOffset>3344545</wp:posOffset>
            </wp:positionH>
            <wp:positionV relativeFrom="paragraph">
              <wp:posOffset>288290</wp:posOffset>
            </wp:positionV>
            <wp:extent cx="2590800" cy="1261110"/>
            <wp:effectExtent l="0" t="0" r="0" b="15240"/>
            <wp:wrapTight wrapText="bothSides">
              <wp:wrapPolygon edited="0">
                <wp:start x="0" y="0"/>
                <wp:lineTo x="0" y="21535"/>
                <wp:lineTo x="21441" y="21535"/>
                <wp:lineTo x="21441" y="0"/>
                <wp:lineTo x="0" y="0"/>
              </wp:wrapPolygon>
            </wp:wrapTight>
            <wp:docPr id="103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V relativeFrom="margin">
              <wp14:pctHeight>0</wp14:pctHeight>
            </wp14:sizeRelV>
          </wp:anchor>
        </w:drawing>
      </w:r>
    </w:p>
    <w:tbl>
      <w:tblPr>
        <w:tblStyle w:val="GridTable1Light1"/>
        <w:tblW w:w="0" w:type="auto"/>
        <w:tblLook w:val="04A0" w:firstRow="1" w:lastRow="0" w:firstColumn="1" w:lastColumn="0" w:noHBand="0" w:noVBand="1"/>
      </w:tblPr>
      <w:tblGrid>
        <w:gridCol w:w="799"/>
        <w:gridCol w:w="2157"/>
        <w:gridCol w:w="2067"/>
      </w:tblGrid>
      <w:tr w:rsidR="00B70B8D" w:rsidRPr="005B5164" w14:paraId="31A6F225" w14:textId="77777777" w:rsidTr="009E6F38">
        <w:trPr>
          <w:cnfStyle w:val="100000000000" w:firstRow="1" w:lastRow="0" w:firstColumn="0" w:lastColumn="0" w:oddVBand="0" w:evenVBand="0" w:oddHBand="0"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799" w:type="dxa"/>
            <w:shd w:val="clear" w:color="auto" w:fill="4BACC6"/>
          </w:tcPr>
          <w:p w14:paraId="1D7C6B12" w14:textId="77777777" w:rsidR="00B70B8D" w:rsidRPr="005B5164" w:rsidRDefault="00397AB8" w:rsidP="005977F2">
            <w:pPr>
              <w:spacing w:after="0" w:line="240" w:lineRule="auto"/>
              <w:ind w:leftChars="0" w:left="0" w:firstLineChars="0" w:firstLine="0"/>
              <w:rPr>
                <w:rFonts w:ascii="Times New Roman" w:hAnsi="Times New Roman" w:cs="Times New Roman"/>
                <w:sz w:val="20"/>
                <w:szCs w:val="20"/>
              </w:rPr>
            </w:pPr>
            <w:r w:rsidRPr="005B5164">
              <w:rPr>
                <w:rFonts w:ascii="Times New Roman" w:hAnsi="Times New Roman" w:cs="Times New Roman"/>
                <w:sz w:val="20"/>
                <w:szCs w:val="20"/>
              </w:rPr>
              <w:t>S/No.</w:t>
            </w:r>
          </w:p>
        </w:tc>
        <w:tc>
          <w:tcPr>
            <w:tcW w:w="2156" w:type="dxa"/>
            <w:shd w:val="clear" w:color="auto" w:fill="4BACC6"/>
          </w:tcPr>
          <w:p w14:paraId="49244F34" w14:textId="77777777" w:rsidR="00B70B8D" w:rsidRPr="005B5164" w:rsidRDefault="00397AB8" w:rsidP="005977F2">
            <w:pPr>
              <w:spacing w:after="0" w:line="240" w:lineRule="auto"/>
              <w:ind w:leftChars="0" w:left="0" w:firstLineChars="0" w:firstLin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Types of publication</w:t>
            </w:r>
          </w:p>
        </w:tc>
        <w:tc>
          <w:tcPr>
            <w:tcW w:w="2067" w:type="dxa"/>
            <w:shd w:val="clear" w:color="auto" w:fill="4BACC6"/>
          </w:tcPr>
          <w:p w14:paraId="10FF6A8A" w14:textId="77777777" w:rsidR="00B70B8D" w:rsidRPr="005B5164" w:rsidRDefault="00397AB8" w:rsidP="005977F2">
            <w:pPr>
              <w:spacing w:after="0" w:line="240" w:lineRule="auto"/>
              <w:ind w:leftChars="0" w:left="0" w:firstLineChars="0" w:firstLin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No. of Studies</w:t>
            </w:r>
          </w:p>
        </w:tc>
      </w:tr>
      <w:tr w:rsidR="00B70B8D" w:rsidRPr="005B5164" w14:paraId="368DFA97" w14:textId="77777777" w:rsidTr="009E6F38">
        <w:trPr>
          <w:trHeight w:val="407"/>
        </w:trPr>
        <w:tc>
          <w:tcPr>
            <w:cnfStyle w:val="001000000000" w:firstRow="0" w:lastRow="0" w:firstColumn="1" w:lastColumn="0" w:oddVBand="0" w:evenVBand="0" w:oddHBand="0" w:evenHBand="0" w:firstRowFirstColumn="0" w:firstRowLastColumn="0" w:lastRowFirstColumn="0" w:lastRowLastColumn="0"/>
            <w:tcW w:w="799" w:type="dxa"/>
          </w:tcPr>
          <w:p w14:paraId="6CA45041" w14:textId="77777777" w:rsidR="00B70B8D" w:rsidRPr="005B5164" w:rsidRDefault="00397AB8" w:rsidP="005977F2">
            <w:pPr>
              <w:spacing w:after="0" w:line="240" w:lineRule="auto"/>
              <w:ind w:leftChars="0" w:left="0" w:firstLineChars="0" w:firstLine="0"/>
              <w:rPr>
                <w:rFonts w:ascii="Times New Roman" w:hAnsi="Times New Roman" w:cs="Times New Roman"/>
                <w:sz w:val="20"/>
                <w:szCs w:val="20"/>
              </w:rPr>
            </w:pPr>
            <w:r w:rsidRPr="005B5164">
              <w:rPr>
                <w:rFonts w:ascii="Times New Roman" w:hAnsi="Times New Roman" w:cs="Times New Roman"/>
                <w:sz w:val="20"/>
                <w:szCs w:val="20"/>
              </w:rPr>
              <w:t>1</w:t>
            </w:r>
          </w:p>
        </w:tc>
        <w:tc>
          <w:tcPr>
            <w:tcW w:w="2156" w:type="dxa"/>
          </w:tcPr>
          <w:p w14:paraId="76A7AD25"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Journal articles</w:t>
            </w:r>
          </w:p>
        </w:tc>
        <w:tc>
          <w:tcPr>
            <w:tcW w:w="2067" w:type="dxa"/>
          </w:tcPr>
          <w:p w14:paraId="19AA5510"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59</w:t>
            </w:r>
          </w:p>
        </w:tc>
      </w:tr>
      <w:tr w:rsidR="00B70B8D" w:rsidRPr="005B5164" w14:paraId="42B7A875" w14:textId="77777777" w:rsidTr="009E6F38">
        <w:trPr>
          <w:trHeight w:val="407"/>
        </w:trPr>
        <w:tc>
          <w:tcPr>
            <w:cnfStyle w:val="001000000000" w:firstRow="0" w:lastRow="0" w:firstColumn="1" w:lastColumn="0" w:oddVBand="0" w:evenVBand="0" w:oddHBand="0" w:evenHBand="0" w:firstRowFirstColumn="0" w:firstRowLastColumn="0" w:lastRowFirstColumn="0" w:lastRowLastColumn="0"/>
            <w:tcW w:w="799" w:type="dxa"/>
          </w:tcPr>
          <w:p w14:paraId="7FD33A09" w14:textId="77777777" w:rsidR="00B70B8D" w:rsidRPr="005B5164" w:rsidRDefault="00397AB8" w:rsidP="005977F2">
            <w:pPr>
              <w:spacing w:after="0" w:line="240" w:lineRule="auto"/>
              <w:ind w:leftChars="0" w:left="0" w:firstLineChars="0" w:firstLine="0"/>
              <w:rPr>
                <w:rFonts w:ascii="Times New Roman" w:hAnsi="Times New Roman" w:cs="Times New Roman"/>
                <w:sz w:val="20"/>
                <w:szCs w:val="20"/>
              </w:rPr>
            </w:pPr>
            <w:r w:rsidRPr="005B5164">
              <w:rPr>
                <w:rFonts w:ascii="Times New Roman" w:hAnsi="Times New Roman" w:cs="Times New Roman"/>
                <w:sz w:val="20"/>
                <w:szCs w:val="20"/>
              </w:rPr>
              <w:t>2</w:t>
            </w:r>
          </w:p>
        </w:tc>
        <w:tc>
          <w:tcPr>
            <w:tcW w:w="2156" w:type="dxa"/>
          </w:tcPr>
          <w:p w14:paraId="65665A89"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Conference papers</w:t>
            </w:r>
          </w:p>
        </w:tc>
        <w:tc>
          <w:tcPr>
            <w:tcW w:w="2067" w:type="dxa"/>
          </w:tcPr>
          <w:p w14:paraId="22AC2FEF"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5</w:t>
            </w:r>
          </w:p>
        </w:tc>
      </w:tr>
      <w:tr w:rsidR="00B70B8D" w:rsidRPr="005B5164" w14:paraId="2C177710" w14:textId="77777777" w:rsidTr="009E6F38">
        <w:trPr>
          <w:trHeight w:val="407"/>
        </w:trPr>
        <w:tc>
          <w:tcPr>
            <w:cnfStyle w:val="001000000000" w:firstRow="0" w:lastRow="0" w:firstColumn="1" w:lastColumn="0" w:oddVBand="0" w:evenVBand="0" w:oddHBand="0" w:evenHBand="0" w:firstRowFirstColumn="0" w:firstRowLastColumn="0" w:lastRowFirstColumn="0" w:lastRowLastColumn="0"/>
            <w:tcW w:w="799" w:type="dxa"/>
          </w:tcPr>
          <w:p w14:paraId="1AC67908" w14:textId="77777777" w:rsidR="00B70B8D" w:rsidRPr="005B5164" w:rsidRDefault="00397AB8" w:rsidP="005977F2">
            <w:pPr>
              <w:spacing w:after="0" w:line="240" w:lineRule="auto"/>
              <w:ind w:leftChars="0" w:left="0" w:firstLineChars="0" w:firstLine="0"/>
              <w:rPr>
                <w:rFonts w:ascii="Times New Roman" w:hAnsi="Times New Roman" w:cs="Times New Roman"/>
                <w:sz w:val="20"/>
                <w:szCs w:val="20"/>
              </w:rPr>
            </w:pPr>
            <w:r w:rsidRPr="005B5164">
              <w:rPr>
                <w:rFonts w:ascii="Times New Roman" w:hAnsi="Times New Roman" w:cs="Times New Roman"/>
                <w:sz w:val="20"/>
                <w:szCs w:val="20"/>
              </w:rPr>
              <w:t>3</w:t>
            </w:r>
          </w:p>
        </w:tc>
        <w:tc>
          <w:tcPr>
            <w:tcW w:w="2156" w:type="dxa"/>
          </w:tcPr>
          <w:p w14:paraId="4B1DEA4B"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Book/Book section</w:t>
            </w:r>
          </w:p>
        </w:tc>
        <w:tc>
          <w:tcPr>
            <w:tcW w:w="2067" w:type="dxa"/>
          </w:tcPr>
          <w:p w14:paraId="55B21689"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5</w:t>
            </w:r>
          </w:p>
        </w:tc>
      </w:tr>
      <w:tr w:rsidR="00B70B8D" w:rsidRPr="005B5164" w14:paraId="1B36091E" w14:textId="77777777" w:rsidTr="009E6F38">
        <w:trPr>
          <w:trHeight w:val="313"/>
        </w:trPr>
        <w:tc>
          <w:tcPr>
            <w:cnfStyle w:val="001000000000" w:firstRow="0" w:lastRow="0" w:firstColumn="1" w:lastColumn="0" w:oddVBand="0" w:evenVBand="0" w:oddHBand="0" w:evenHBand="0" w:firstRowFirstColumn="0" w:firstRowLastColumn="0" w:lastRowFirstColumn="0" w:lastRowLastColumn="0"/>
            <w:tcW w:w="2956" w:type="dxa"/>
            <w:gridSpan w:val="2"/>
            <w:shd w:val="clear" w:color="auto" w:fill="0070C0"/>
          </w:tcPr>
          <w:p w14:paraId="1B3F6CDE" w14:textId="77777777" w:rsidR="00B70B8D" w:rsidRPr="005B5164" w:rsidRDefault="00397AB8" w:rsidP="005977F2">
            <w:pPr>
              <w:spacing w:after="0" w:line="240" w:lineRule="auto"/>
              <w:ind w:leftChars="0" w:left="0" w:firstLineChars="0" w:firstLine="0"/>
              <w:rPr>
                <w:rFonts w:ascii="Times New Roman" w:hAnsi="Times New Roman" w:cs="Times New Roman"/>
                <w:sz w:val="20"/>
                <w:szCs w:val="20"/>
              </w:rPr>
            </w:pPr>
            <w:r w:rsidRPr="005B5164">
              <w:rPr>
                <w:rFonts w:ascii="Times New Roman" w:hAnsi="Times New Roman" w:cs="Times New Roman"/>
                <w:sz w:val="20"/>
                <w:szCs w:val="20"/>
              </w:rPr>
              <w:t xml:space="preserve">                   Total</w:t>
            </w:r>
          </w:p>
        </w:tc>
        <w:tc>
          <w:tcPr>
            <w:tcW w:w="2067" w:type="dxa"/>
            <w:shd w:val="clear" w:color="auto" w:fill="0070C0"/>
          </w:tcPr>
          <w:p w14:paraId="6B404222"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5B5164">
              <w:rPr>
                <w:rFonts w:ascii="Times New Roman" w:hAnsi="Times New Roman" w:cs="Times New Roman"/>
                <w:b/>
                <w:bCs/>
                <w:sz w:val="20"/>
                <w:szCs w:val="20"/>
              </w:rPr>
              <w:t>69</w:t>
            </w:r>
          </w:p>
        </w:tc>
      </w:tr>
    </w:tbl>
    <w:p w14:paraId="030873A2" w14:textId="77777777" w:rsidR="00B70B8D" w:rsidRPr="005B5164" w:rsidRDefault="00397AB8" w:rsidP="005977F2">
      <w:pPr>
        <w:spacing w:after="0" w:line="240" w:lineRule="auto"/>
        <w:ind w:leftChars="0" w:left="0" w:firstLineChars="0" w:firstLine="0"/>
        <w:jc w:val="center"/>
        <w:rPr>
          <w:rFonts w:ascii="Times New Roman" w:hAnsi="Times New Roman" w:cs="Times New Roman"/>
          <w:b/>
          <w:bCs/>
          <w:sz w:val="20"/>
          <w:szCs w:val="20"/>
        </w:rPr>
      </w:pPr>
      <w:r w:rsidRPr="005B5164">
        <w:rPr>
          <w:rFonts w:ascii="Times New Roman" w:hAnsi="Times New Roman" w:cs="Times New Roman"/>
          <w:b/>
          <w:bCs/>
          <w:sz w:val="20"/>
          <w:szCs w:val="20"/>
        </w:rPr>
        <w:t>Figure 4: Number of Articles by Type of Publication</w:t>
      </w:r>
    </w:p>
    <w:p w14:paraId="7648B603" w14:textId="77777777" w:rsidR="00B70B8D" w:rsidRPr="005B5164" w:rsidRDefault="00397AB8" w:rsidP="005977F2">
      <w:pPr>
        <w:spacing w:after="0" w:line="240" w:lineRule="auto"/>
        <w:ind w:leftChars="0" w:left="0" w:firstLineChars="0" w:firstLine="0"/>
        <w:jc w:val="both"/>
        <w:rPr>
          <w:rFonts w:ascii="Times New Roman" w:hAnsi="Times New Roman" w:cs="Times New Roman"/>
          <w:sz w:val="20"/>
          <w:szCs w:val="20"/>
        </w:rPr>
      </w:pPr>
      <w:r w:rsidRPr="005B5164">
        <w:rPr>
          <w:rFonts w:ascii="Times New Roman" w:hAnsi="Times New Roman" w:cs="Times New Roman"/>
          <w:sz w:val="20"/>
          <w:szCs w:val="20"/>
        </w:rPr>
        <w:t>With regards to the research method used, 30 (44%) of the studies used a qualitative technique as a method of data analysis, 17 (24.64%) used quantitative techniques such as descriptive statistics and regression analysis, 10 (14.50%) used both qualitative and quantitative techniques (i.e., mixed methods), 4 (5.8%) where papers that were based on literature review methodology, while the remaining 8 (11.6%) were theoretical papers.</w:t>
      </w:r>
    </w:p>
    <w:p w14:paraId="5E7B78B7" w14:textId="77777777" w:rsidR="00B70B8D" w:rsidRPr="005B5164" w:rsidRDefault="00397AB8" w:rsidP="005977F2">
      <w:pPr>
        <w:tabs>
          <w:tab w:val="left" w:pos="216"/>
          <w:tab w:val="center" w:pos="4680"/>
        </w:tabs>
        <w:spacing w:after="0" w:line="240" w:lineRule="auto"/>
        <w:ind w:leftChars="0" w:left="0" w:firstLineChars="0" w:firstLine="0"/>
        <w:rPr>
          <w:rFonts w:ascii="Times New Roman" w:hAnsi="Times New Roman" w:cs="Times New Roman"/>
          <w:b/>
          <w:bCs/>
          <w:sz w:val="20"/>
          <w:szCs w:val="20"/>
        </w:rPr>
      </w:pPr>
      <w:r w:rsidRPr="005B5164">
        <w:rPr>
          <w:rFonts w:ascii="Times New Roman" w:hAnsi="Times New Roman" w:cs="Times New Roman"/>
          <w:noProof/>
          <w:sz w:val="20"/>
          <w:szCs w:val="20"/>
        </w:rPr>
        <w:drawing>
          <wp:anchor distT="0" distB="0" distL="114300" distR="114300" simplePos="0" relativeHeight="2" behindDoc="1" locked="0" layoutInCell="1" allowOverlap="1" wp14:anchorId="2FD1066F" wp14:editId="3D4E96BD">
            <wp:simplePos x="0" y="0"/>
            <wp:positionH relativeFrom="margin">
              <wp:posOffset>2972435</wp:posOffset>
            </wp:positionH>
            <wp:positionV relativeFrom="paragraph">
              <wp:posOffset>265430</wp:posOffset>
            </wp:positionV>
            <wp:extent cx="3474720" cy="1769745"/>
            <wp:effectExtent l="0" t="0" r="11430" b="1905"/>
            <wp:wrapTight wrapText="bothSides">
              <wp:wrapPolygon edited="0">
                <wp:start x="0" y="0"/>
                <wp:lineTo x="0" y="21391"/>
                <wp:lineTo x="21553" y="21391"/>
                <wp:lineTo x="21553" y="0"/>
                <wp:lineTo x="0" y="0"/>
              </wp:wrapPolygon>
            </wp:wrapTight>
            <wp:docPr id="1031"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V relativeFrom="margin">
              <wp14:pctHeight>0</wp14:pctHeight>
            </wp14:sizeRelV>
          </wp:anchor>
        </w:drawing>
      </w:r>
    </w:p>
    <w:tbl>
      <w:tblPr>
        <w:tblStyle w:val="GridTable1Light1"/>
        <w:tblW w:w="0" w:type="auto"/>
        <w:tblInd w:w="-275" w:type="dxa"/>
        <w:tblLook w:val="04A0" w:firstRow="1" w:lastRow="0" w:firstColumn="1" w:lastColumn="0" w:noHBand="0" w:noVBand="1"/>
      </w:tblPr>
      <w:tblGrid>
        <w:gridCol w:w="723"/>
        <w:gridCol w:w="2171"/>
        <w:gridCol w:w="1808"/>
      </w:tblGrid>
      <w:tr w:rsidR="00B70B8D" w:rsidRPr="005B5164" w14:paraId="47FB5726" w14:textId="77777777" w:rsidTr="009E6F38">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723" w:type="dxa"/>
            <w:shd w:val="clear" w:color="auto" w:fill="4BACC6"/>
          </w:tcPr>
          <w:p w14:paraId="41D2FD57" w14:textId="77777777" w:rsidR="00B70B8D" w:rsidRPr="005B5164" w:rsidRDefault="00397AB8" w:rsidP="005977F2">
            <w:pPr>
              <w:spacing w:after="0" w:line="240" w:lineRule="auto"/>
              <w:ind w:leftChars="0" w:left="0" w:firstLineChars="0" w:firstLine="0"/>
              <w:rPr>
                <w:rFonts w:ascii="Times New Roman" w:hAnsi="Times New Roman" w:cs="Times New Roman"/>
                <w:sz w:val="20"/>
                <w:szCs w:val="20"/>
              </w:rPr>
            </w:pPr>
            <w:r w:rsidRPr="005B5164">
              <w:rPr>
                <w:rFonts w:ascii="Times New Roman" w:hAnsi="Times New Roman" w:cs="Times New Roman"/>
                <w:sz w:val="20"/>
                <w:szCs w:val="20"/>
              </w:rPr>
              <w:t>S/No.</w:t>
            </w:r>
          </w:p>
        </w:tc>
        <w:tc>
          <w:tcPr>
            <w:tcW w:w="2170" w:type="dxa"/>
            <w:shd w:val="clear" w:color="auto" w:fill="4BACC6"/>
          </w:tcPr>
          <w:p w14:paraId="564DCBEB" w14:textId="77777777" w:rsidR="00B70B8D" w:rsidRPr="005B5164" w:rsidRDefault="00397AB8" w:rsidP="005977F2">
            <w:pPr>
              <w:spacing w:after="0" w:line="240" w:lineRule="auto"/>
              <w:ind w:leftChars="0" w:left="0" w:firstLineChars="0" w:firstLin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Method used</w:t>
            </w:r>
          </w:p>
        </w:tc>
        <w:tc>
          <w:tcPr>
            <w:tcW w:w="1808" w:type="dxa"/>
            <w:shd w:val="clear" w:color="auto" w:fill="4BACC6"/>
          </w:tcPr>
          <w:p w14:paraId="0194E3FF" w14:textId="77777777" w:rsidR="00B70B8D" w:rsidRPr="005B5164" w:rsidRDefault="00397AB8" w:rsidP="005977F2">
            <w:pPr>
              <w:spacing w:after="0" w:line="240" w:lineRule="auto"/>
              <w:ind w:leftChars="0" w:left="0" w:firstLineChars="0" w:firstLin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No. of Studies</w:t>
            </w:r>
          </w:p>
        </w:tc>
      </w:tr>
      <w:tr w:rsidR="00B70B8D" w:rsidRPr="005B5164" w14:paraId="6946A791" w14:textId="77777777" w:rsidTr="009E6F38">
        <w:trPr>
          <w:trHeight w:val="421"/>
        </w:trPr>
        <w:tc>
          <w:tcPr>
            <w:cnfStyle w:val="001000000000" w:firstRow="0" w:lastRow="0" w:firstColumn="1" w:lastColumn="0" w:oddVBand="0" w:evenVBand="0" w:oddHBand="0" w:evenHBand="0" w:firstRowFirstColumn="0" w:firstRowLastColumn="0" w:lastRowFirstColumn="0" w:lastRowLastColumn="0"/>
            <w:tcW w:w="723" w:type="dxa"/>
          </w:tcPr>
          <w:p w14:paraId="104B1869" w14:textId="77777777" w:rsidR="00B70B8D" w:rsidRPr="005B5164" w:rsidRDefault="00397AB8" w:rsidP="005977F2">
            <w:pPr>
              <w:spacing w:after="0" w:line="240" w:lineRule="auto"/>
              <w:ind w:leftChars="0" w:left="0" w:firstLineChars="0" w:firstLine="0"/>
              <w:rPr>
                <w:rFonts w:ascii="Times New Roman" w:hAnsi="Times New Roman" w:cs="Times New Roman"/>
                <w:sz w:val="20"/>
                <w:szCs w:val="20"/>
              </w:rPr>
            </w:pPr>
            <w:r w:rsidRPr="005B5164">
              <w:rPr>
                <w:rFonts w:ascii="Times New Roman" w:hAnsi="Times New Roman" w:cs="Times New Roman"/>
                <w:sz w:val="20"/>
                <w:szCs w:val="20"/>
              </w:rPr>
              <w:t>1</w:t>
            </w:r>
          </w:p>
        </w:tc>
        <w:tc>
          <w:tcPr>
            <w:tcW w:w="2170" w:type="dxa"/>
          </w:tcPr>
          <w:p w14:paraId="2BF43DA7"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Qualitative</w:t>
            </w:r>
          </w:p>
        </w:tc>
        <w:tc>
          <w:tcPr>
            <w:tcW w:w="1808" w:type="dxa"/>
          </w:tcPr>
          <w:p w14:paraId="53EDEA69"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30</w:t>
            </w:r>
          </w:p>
        </w:tc>
      </w:tr>
      <w:tr w:rsidR="00B70B8D" w:rsidRPr="005B5164" w14:paraId="7A4BC42E" w14:textId="77777777" w:rsidTr="009E6F38">
        <w:trPr>
          <w:trHeight w:val="421"/>
        </w:trPr>
        <w:tc>
          <w:tcPr>
            <w:cnfStyle w:val="001000000000" w:firstRow="0" w:lastRow="0" w:firstColumn="1" w:lastColumn="0" w:oddVBand="0" w:evenVBand="0" w:oddHBand="0" w:evenHBand="0" w:firstRowFirstColumn="0" w:firstRowLastColumn="0" w:lastRowFirstColumn="0" w:lastRowLastColumn="0"/>
            <w:tcW w:w="723" w:type="dxa"/>
          </w:tcPr>
          <w:p w14:paraId="56975551" w14:textId="77777777" w:rsidR="00B70B8D" w:rsidRPr="005B5164" w:rsidRDefault="00397AB8" w:rsidP="005977F2">
            <w:pPr>
              <w:spacing w:after="0" w:line="240" w:lineRule="auto"/>
              <w:ind w:leftChars="0" w:left="0" w:firstLineChars="0" w:firstLine="0"/>
              <w:rPr>
                <w:rFonts w:ascii="Times New Roman" w:hAnsi="Times New Roman" w:cs="Times New Roman"/>
                <w:sz w:val="20"/>
                <w:szCs w:val="20"/>
              </w:rPr>
            </w:pPr>
            <w:r w:rsidRPr="005B5164">
              <w:rPr>
                <w:rFonts w:ascii="Times New Roman" w:hAnsi="Times New Roman" w:cs="Times New Roman"/>
                <w:sz w:val="20"/>
                <w:szCs w:val="20"/>
              </w:rPr>
              <w:t>2</w:t>
            </w:r>
          </w:p>
        </w:tc>
        <w:tc>
          <w:tcPr>
            <w:tcW w:w="2170" w:type="dxa"/>
          </w:tcPr>
          <w:p w14:paraId="06B0F6FF"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Quantitative</w:t>
            </w:r>
          </w:p>
        </w:tc>
        <w:tc>
          <w:tcPr>
            <w:tcW w:w="1808" w:type="dxa"/>
          </w:tcPr>
          <w:p w14:paraId="4E003DB2"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17</w:t>
            </w:r>
          </w:p>
        </w:tc>
      </w:tr>
      <w:tr w:rsidR="00B70B8D" w:rsidRPr="005B5164" w14:paraId="365083A4" w14:textId="77777777" w:rsidTr="009E6F38">
        <w:trPr>
          <w:trHeight w:val="421"/>
        </w:trPr>
        <w:tc>
          <w:tcPr>
            <w:cnfStyle w:val="001000000000" w:firstRow="0" w:lastRow="0" w:firstColumn="1" w:lastColumn="0" w:oddVBand="0" w:evenVBand="0" w:oddHBand="0" w:evenHBand="0" w:firstRowFirstColumn="0" w:firstRowLastColumn="0" w:lastRowFirstColumn="0" w:lastRowLastColumn="0"/>
            <w:tcW w:w="723" w:type="dxa"/>
          </w:tcPr>
          <w:p w14:paraId="47B215D7" w14:textId="77777777" w:rsidR="00B70B8D" w:rsidRPr="005B5164" w:rsidRDefault="00397AB8" w:rsidP="005977F2">
            <w:pPr>
              <w:spacing w:after="0" w:line="240" w:lineRule="auto"/>
              <w:ind w:leftChars="0" w:left="0" w:firstLineChars="0" w:firstLine="0"/>
              <w:rPr>
                <w:rFonts w:ascii="Times New Roman" w:hAnsi="Times New Roman" w:cs="Times New Roman"/>
                <w:sz w:val="20"/>
                <w:szCs w:val="20"/>
              </w:rPr>
            </w:pPr>
            <w:r w:rsidRPr="005B5164">
              <w:rPr>
                <w:rFonts w:ascii="Times New Roman" w:hAnsi="Times New Roman" w:cs="Times New Roman"/>
                <w:sz w:val="20"/>
                <w:szCs w:val="20"/>
              </w:rPr>
              <w:t>3</w:t>
            </w:r>
          </w:p>
        </w:tc>
        <w:tc>
          <w:tcPr>
            <w:tcW w:w="2170" w:type="dxa"/>
          </w:tcPr>
          <w:p w14:paraId="15FCC022"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Mixed method</w:t>
            </w:r>
          </w:p>
        </w:tc>
        <w:tc>
          <w:tcPr>
            <w:tcW w:w="1808" w:type="dxa"/>
          </w:tcPr>
          <w:p w14:paraId="1C63A8D4"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10</w:t>
            </w:r>
          </w:p>
        </w:tc>
      </w:tr>
      <w:tr w:rsidR="00B70B8D" w:rsidRPr="005B5164" w14:paraId="10E33D11" w14:textId="77777777" w:rsidTr="009E6F38">
        <w:trPr>
          <w:trHeight w:val="421"/>
        </w:trPr>
        <w:tc>
          <w:tcPr>
            <w:cnfStyle w:val="001000000000" w:firstRow="0" w:lastRow="0" w:firstColumn="1" w:lastColumn="0" w:oddVBand="0" w:evenVBand="0" w:oddHBand="0" w:evenHBand="0" w:firstRowFirstColumn="0" w:firstRowLastColumn="0" w:lastRowFirstColumn="0" w:lastRowLastColumn="0"/>
            <w:tcW w:w="723" w:type="dxa"/>
          </w:tcPr>
          <w:p w14:paraId="49D6EE03" w14:textId="77777777" w:rsidR="00B70B8D" w:rsidRPr="005B5164" w:rsidRDefault="00397AB8" w:rsidP="005977F2">
            <w:pPr>
              <w:spacing w:after="0" w:line="240" w:lineRule="auto"/>
              <w:ind w:leftChars="0" w:left="0" w:firstLineChars="0" w:firstLine="0"/>
              <w:rPr>
                <w:rFonts w:ascii="Times New Roman" w:hAnsi="Times New Roman" w:cs="Times New Roman"/>
                <w:sz w:val="20"/>
                <w:szCs w:val="20"/>
              </w:rPr>
            </w:pPr>
            <w:r w:rsidRPr="005B5164">
              <w:rPr>
                <w:rFonts w:ascii="Times New Roman" w:hAnsi="Times New Roman" w:cs="Times New Roman"/>
                <w:sz w:val="20"/>
                <w:szCs w:val="20"/>
              </w:rPr>
              <w:t>4</w:t>
            </w:r>
          </w:p>
        </w:tc>
        <w:tc>
          <w:tcPr>
            <w:tcW w:w="2170" w:type="dxa"/>
          </w:tcPr>
          <w:p w14:paraId="5575D536"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Literature review method</w:t>
            </w:r>
          </w:p>
        </w:tc>
        <w:tc>
          <w:tcPr>
            <w:tcW w:w="1808" w:type="dxa"/>
          </w:tcPr>
          <w:p w14:paraId="24815694"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4</w:t>
            </w:r>
          </w:p>
        </w:tc>
      </w:tr>
      <w:tr w:rsidR="00B70B8D" w:rsidRPr="005B5164" w14:paraId="7024770B" w14:textId="77777777" w:rsidTr="009E6F38">
        <w:trPr>
          <w:trHeight w:val="421"/>
        </w:trPr>
        <w:tc>
          <w:tcPr>
            <w:cnfStyle w:val="001000000000" w:firstRow="0" w:lastRow="0" w:firstColumn="1" w:lastColumn="0" w:oddVBand="0" w:evenVBand="0" w:oddHBand="0" w:evenHBand="0" w:firstRowFirstColumn="0" w:firstRowLastColumn="0" w:lastRowFirstColumn="0" w:lastRowLastColumn="0"/>
            <w:tcW w:w="723" w:type="dxa"/>
          </w:tcPr>
          <w:p w14:paraId="78AA6BB8" w14:textId="77777777" w:rsidR="00B70B8D" w:rsidRPr="005B5164" w:rsidRDefault="00397AB8" w:rsidP="005977F2">
            <w:pPr>
              <w:spacing w:after="0" w:line="240" w:lineRule="auto"/>
              <w:ind w:leftChars="0" w:left="0" w:firstLineChars="0" w:firstLine="0"/>
              <w:rPr>
                <w:rFonts w:ascii="Times New Roman" w:hAnsi="Times New Roman" w:cs="Times New Roman"/>
                <w:sz w:val="20"/>
                <w:szCs w:val="20"/>
              </w:rPr>
            </w:pPr>
            <w:r w:rsidRPr="005B5164">
              <w:rPr>
                <w:rFonts w:ascii="Times New Roman" w:hAnsi="Times New Roman" w:cs="Times New Roman"/>
                <w:sz w:val="20"/>
                <w:szCs w:val="20"/>
              </w:rPr>
              <w:t>5</w:t>
            </w:r>
          </w:p>
        </w:tc>
        <w:tc>
          <w:tcPr>
            <w:tcW w:w="2170" w:type="dxa"/>
          </w:tcPr>
          <w:p w14:paraId="3CF37B0A"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Theoretical papers</w:t>
            </w:r>
          </w:p>
        </w:tc>
        <w:tc>
          <w:tcPr>
            <w:tcW w:w="1808" w:type="dxa"/>
          </w:tcPr>
          <w:p w14:paraId="63C3F896"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B5164">
              <w:rPr>
                <w:rFonts w:ascii="Times New Roman" w:hAnsi="Times New Roman" w:cs="Times New Roman"/>
                <w:sz w:val="20"/>
                <w:szCs w:val="20"/>
              </w:rPr>
              <w:t>8</w:t>
            </w:r>
          </w:p>
        </w:tc>
      </w:tr>
      <w:tr w:rsidR="00B70B8D" w:rsidRPr="005B5164" w14:paraId="19386E21" w14:textId="77777777" w:rsidTr="009E6F38">
        <w:trPr>
          <w:trHeight w:val="324"/>
        </w:trPr>
        <w:tc>
          <w:tcPr>
            <w:cnfStyle w:val="001000000000" w:firstRow="0" w:lastRow="0" w:firstColumn="1" w:lastColumn="0" w:oddVBand="0" w:evenVBand="0" w:oddHBand="0" w:evenHBand="0" w:firstRowFirstColumn="0" w:firstRowLastColumn="0" w:lastRowFirstColumn="0" w:lastRowLastColumn="0"/>
            <w:tcW w:w="2894" w:type="dxa"/>
            <w:gridSpan w:val="2"/>
            <w:shd w:val="clear" w:color="auto" w:fill="0070C0"/>
          </w:tcPr>
          <w:p w14:paraId="41F7D80F" w14:textId="77777777" w:rsidR="00B70B8D" w:rsidRPr="005B5164" w:rsidRDefault="00397AB8" w:rsidP="005977F2">
            <w:pPr>
              <w:spacing w:after="0" w:line="240" w:lineRule="auto"/>
              <w:ind w:leftChars="0" w:left="0" w:firstLineChars="0" w:firstLine="0"/>
              <w:rPr>
                <w:rFonts w:ascii="Times New Roman" w:hAnsi="Times New Roman" w:cs="Times New Roman"/>
                <w:sz w:val="20"/>
                <w:szCs w:val="20"/>
              </w:rPr>
            </w:pPr>
            <w:r w:rsidRPr="005B5164">
              <w:rPr>
                <w:rFonts w:ascii="Times New Roman" w:hAnsi="Times New Roman" w:cs="Times New Roman"/>
                <w:sz w:val="20"/>
                <w:szCs w:val="20"/>
              </w:rPr>
              <w:t xml:space="preserve">                   Total</w:t>
            </w:r>
          </w:p>
        </w:tc>
        <w:tc>
          <w:tcPr>
            <w:tcW w:w="1808" w:type="dxa"/>
            <w:shd w:val="clear" w:color="auto" w:fill="0070C0"/>
          </w:tcPr>
          <w:p w14:paraId="5C28830D" w14:textId="77777777" w:rsidR="00B70B8D" w:rsidRPr="005B5164" w:rsidRDefault="00397AB8" w:rsidP="005977F2">
            <w:pPr>
              <w:spacing w:after="0" w:line="240" w:lineRule="auto"/>
              <w:ind w:leftChars="0" w:left="0" w:firstLineChars="0"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5B5164">
              <w:rPr>
                <w:rFonts w:ascii="Times New Roman" w:hAnsi="Times New Roman" w:cs="Times New Roman"/>
                <w:b/>
                <w:bCs/>
                <w:sz w:val="20"/>
                <w:szCs w:val="20"/>
              </w:rPr>
              <w:t>69</w:t>
            </w:r>
          </w:p>
        </w:tc>
      </w:tr>
    </w:tbl>
    <w:p w14:paraId="24E5AAC0" w14:textId="77777777" w:rsidR="00B70B8D" w:rsidRPr="005B5164" w:rsidRDefault="00397AB8" w:rsidP="005977F2">
      <w:pPr>
        <w:spacing w:after="0" w:line="240" w:lineRule="auto"/>
        <w:ind w:leftChars="0" w:left="0" w:firstLineChars="0" w:firstLine="0"/>
        <w:jc w:val="center"/>
        <w:rPr>
          <w:rFonts w:ascii="Times New Roman" w:hAnsi="Times New Roman" w:cs="Times New Roman"/>
          <w:b/>
          <w:bCs/>
          <w:sz w:val="20"/>
          <w:szCs w:val="20"/>
        </w:rPr>
      </w:pPr>
      <w:r w:rsidRPr="005B5164">
        <w:rPr>
          <w:rFonts w:ascii="Times New Roman" w:hAnsi="Times New Roman" w:cs="Times New Roman"/>
          <w:b/>
          <w:bCs/>
          <w:sz w:val="20"/>
          <w:szCs w:val="20"/>
        </w:rPr>
        <w:t>Figure 5: Number of Articles by Method Used</w:t>
      </w:r>
    </w:p>
    <w:p w14:paraId="19D45B86" w14:textId="77777777" w:rsidR="00B70B8D" w:rsidRPr="005B5164" w:rsidRDefault="00397AB8" w:rsidP="005977F2">
      <w:pPr>
        <w:spacing w:after="0" w:line="240" w:lineRule="auto"/>
        <w:ind w:leftChars="0" w:left="0" w:firstLineChars="0" w:firstLine="0"/>
        <w:jc w:val="both"/>
        <w:rPr>
          <w:rFonts w:ascii="Times New Roman" w:hAnsi="Times New Roman" w:cs="Times New Roman"/>
          <w:sz w:val="20"/>
          <w:szCs w:val="20"/>
        </w:rPr>
      </w:pPr>
      <w:r w:rsidRPr="005B5164">
        <w:rPr>
          <w:rFonts w:ascii="Times New Roman" w:hAnsi="Times New Roman" w:cs="Times New Roman"/>
          <w:sz w:val="20"/>
          <w:szCs w:val="20"/>
        </w:rPr>
        <w:t xml:space="preserve">To understand the spread of the literature reviewed across countries, we identified those across developed and developing countries that have published articles on the phenomenon under study. In the developed countries, the United States of America has the highest percentage with 24.64%, followed by China with 10.14%, and Australia with 7.25%. While in developing countries, Canada has the highest rate of 4.35%, followed by South Africa with 2.90%. Based on the reviewed literature, no study was conducted on this phenomenon under investigation in Nigerian higher educational institutions as indicated in </w:t>
      </w:r>
      <w:r w:rsidRPr="005B5164">
        <w:rPr>
          <w:rFonts w:ascii="Times New Roman" w:hAnsi="Times New Roman" w:cs="Times New Roman"/>
          <w:b/>
          <w:bCs/>
          <w:sz w:val="20"/>
          <w:szCs w:val="20"/>
        </w:rPr>
        <w:t>Figure 6.</w:t>
      </w:r>
    </w:p>
    <w:p w14:paraId="02C7DA02" w14:textId="77777777" w:rsidR="00B70B8D" w:rsidRPr="005B5164" w:rsidRDefault="00397AB8" w:rsidP="005977F2">
      <w:pPr>
        <w:spacing w:after="0" w:line="240" w:lineRule="auto"/>
        <w:ind w:leftChars="0" w:left="0" w:firstLineChars="0" w:firstLine="0"/>
        <w:jc w:val="both"/>
        <w:rPr>
          <w:rFonts w:ascii="Times New Roman" w:hAnsi="Times New Roman" w:cs="Times New Roman"/>
          <w:b/>
          <w:bCs/>
          <w:sz w:val="20"/>
          <w:szCs w:val="20"/>
        </w:rPr>
      </w:pPr>
      <w:r w:rsidRPr="005B5164">
        <w:rPr>
          <w:rFonts w:ascii="Times New Roman" w:hAnsi="Times New Roman" w:cs="Times New Roman"/>
          <w:noProof/>
          <w:sz w:val="20"/>
          <w:szCs w:val="20"/>
        </w:rPr>
        <w:drawing>
          <wp:inline distT="0" distB="0" distL="114300" distR="114300" wp14:anchorId="2B07C714" wp14:editId="4C694306">
            <wp:extent cx="6400800" cy="1398495"/>
            <wp:effectExtent l="0" t="0" r="0" b="11430"/>
            <wp:docPr id="1033" name="Image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803264A" w14:textId="77777777" w:rsidR="00B70B8D" w:rsidRPr="005B5164" w:rsidRDefault="00397AB8" w:rsidP="005977F2">
      <w:pPr>
        <w:spacing w:after="0" w:line="240" w:lineRule="auto"/>
        <w:ind w:leftChars="0" w:left="0" w:firstLineChars="0" w:firstLine="0"/>
        <w:jc w:val="center"/>
        <w:rPr>
          <w:rFonts w:ascii="Times New Roman" w:hAnsi="Times New Roman" w:cs="Times New Roman"/>
          <w:b/>
          <w:bCs/>
          <w:sz w:val="20"/>
          <w:szCs w:val="20"/>
        </w:rPr>
      </w:pPr>
      <w:r w:rsidRPr="005B5164">
        <w:rPr>
          <w:rFonts w:ascii="Times New Roman" w:hAnsi="Times New Roman" w:cs="Times New Roman"/>
          <w:b/>
          <w:bCs/>
          <w:sz w:val="20"/>
          <w:szCs w:val="20"/>
        </w:rPr>
        <w:t xml:space="preserve">Figure 6: </w:t>
      </w:r>
      <w:r w:rsidRPr="005B5164">
        <w:rPr>
          <w:rFonts w:ascii="Times New Roman" w:hAnsi="Times New Roman" w:cs="Times New Roman"/>
          <w:sz w:val="20"/>
          <w:szCs w:val="20"/>
        </w:rPr>
        <w:t>Study Distribution by Country</w:t>
      </w:r>
    </w:p>
    <w:p w14:paraId="3777AE17" w14:textId="77777777" w:rsidR="00B70B8D" w:rsidRPr="005B5164" w:rsidRDefault="00397AB8" w:rsidP="005977F2">
      <w:pPr>
        <w:spacing w:after="0" w:line="240" w:lineRule="auto"/>
        <w:ind w:leftChars="0" w:left="0" w:firstLineChars="0" w:firstLine="0"/>
        <w:jc w:val="both"/>
        <w:rPr>
          <w:rFonts w:ascii="Times New Roman" w:hAnsi="Times New Roman" w:cs="Times New Roman"/>
          <w:b/>
          <w:bCs/>
          <w:sz w:val="20"/>
          <w:szCs w:val="20"/>
        </w:rPr>
      </w:pPr>
      <w:r w:rsidRPr="005B5164">
        <w:rPr>
          <w:rFonts w:ascii="Times New Roman" w:hAnsi="Times New Roman" w:cs="Times New Roman"/>
          <w:b/>
          <w:bCs/>
          <w:sz w:val="20"/>
          <w:szCs w:val="20"/>
        </w:rPr>
        <w:t>The Overarching theme: Toward theory development</w:t>
      </w:r>
    </w:p>
    <w:p w14:paraId="055E7EAD" w14:textId="77777777" w:rsidR="00B70B8D" w:rsidRPr="005B5164" w:rsidRDefault="00397AB8" w:rsidP="005977F2">
      <w:pPr>
        <w:spacing w:after="0" w:line="240" w:lineRule="auto"/>
        <w:ind w:leftChars="0" w:left="0" w:firstLineChars="0" w:firstLine="0"/>
        <w:jc w:val="both"/>
        <w:rPr>
          <w:rFonts w:ascii="Times New Roman" w:hAnsi="Times New Roman" w:cs="Times New Roman"/>
          <w:sz w:val="20"/>
          <w:szCs w:val="20"/>
        </w:rPr>
      </w:pPr>
      <w:r w:rsidRPr="005B5164">
        <w:rPr>
          <w:rFonts w:ascii="Times New Roman" w:hAnsi="Times New Roman" w:cs="Times New Roman"/>
          <w:b/>
          <w:bCs/>
          <w:sz w:val="20"/>
          <w:szCs w:val="20"/>
        </w:rPr>
        <w:t xml:space="preserve">Overarching theme: Epistemological Access </w:t>
      </w:r>
      <w:r w:rsidRPr="005B5164">
        <w:rPr>
          <w:rFonts w:ascii="Times New Roman" w:hAnsi="Times New Roman" w:cs="Times New Roman"/>
          <w:sz w:val="20"/>
          <w:szCs w:val="20"/>
        </w:rPr>
        <w:t>Investigating epistemological access is phenomenal; it has attracted many scholars over the years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w:instrTex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EN.CITE.DATA </w:instrTex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(Du-Plooy &amp; Zilindile, 2014; Luckett, 2019; Morrow, 1994; Morrow, 2009; Willey, 2007)</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Epistemological access is an access that is bestowed upon students with the purpose of gaining mastery of the subject area in their disciplinary domain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&lt;EndNote&gt;&lt;Cite&gt;&lt;Author&gt;Luckett&lt;/Author&gt;&lt;Year&gt;2019&lt;/Year&gt;&lt;RecNum&gt;3050&lt;/RecNum&gt;&lt;DisplayText&gt;(Luckett, 2019; Morrow, 2009)&lt;/DisplayText&gt;&lt;record&gt;&lt;rec-number&gt;3050&lt;/rec-number&gt;&lt;foreign-keys&gt;&lt;key app="EN" db-id="zazt0005c02a9aeaxpdv00p7tpexrpww9r0a" timestamp="1665518878"&gt;3050&lt;/key&gt;&lt;/foreign-keys&gt;&lt;ref-type name="Journal Article"&gt;17&lt;/ref-type&gt;&lt;contributors&gt;&lt;authors&gt;&lt;author&gt;Luckett, Kathy&lt;/author&gt;&lt;/authors&gt;&lt;/contributors&gt;&lt;titles&gt;&lt;title&gt;A critical self-reflection on theorising education development as ‘epistemological access’ to ‘powerful knowledge’&lt;/title&gt;&lt;secondary-title&gt;Alternation&lt;/secondary-title&gt;&lt;/titles&gt;&lt;periodical&gt;&lt;full-title&gt;Alternation&lt;/full-title&gt;&lt;/periodical&gt;&lt;pages&gt;36-61&lt;/pages&gt;&lt;volume&gt;26&lt;/volume&gt;&lt;number&gt;2&lt;/number&gt;&lt;dates&gt;&lt;year&gt;2019&lt;/year&gt;&lt;/dates&gt;&lt;urls&gt;&lt;/urls&gt;&lt;/record&gt;&lt;/Cite&gt;&lt;Cite&gt;&lt;Author&gt;Morrow&lt;/Author&gt;&lt;Year&gt;2009&lt;/Year&gt;&lt;RecNum&gt;15&lt;/RecNum&gt;&lt;record&gt;&lt;rec-number&gt;15&lt;/rec-number&gt;&lt;foreign-keys&gt;&lt;key app="EN" db-id="0ervezxvyfx9ppedw5yxfwzk5ww9v52atwv9" timestamp="1668165143"&gt;15&lt;/key&gt;&lt;/foreign-keys&gt;&lt;ref-type name="Journal Article"&gt;17&lt;/ref-type&gt;&lt;contributors&gt;&lt;authors&gt;&lt;author&gt;Morrow, Wally E&lt;/author&gt;&lt;/authors&gt;&lt;/contributors&gt;&lt;titles&gt;&lt;title&gt;Bounds of democracy: Epistemological access in higher education&lt;/title&gt;&lt;/titles&gt;&lt;dates&gt;&lt;year&gt;2009&lt;/year&gt;&lt;/dates&gt;&lt;urls&gt;&lt;/urls&gt;&lt;/record&gt;&lt;/Cite&gt;&lt;/EndNote&gt;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(Luckett, 2019; Morrow, 2009)</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Consequently, epistemological access requires a process theorization approach, to ensure gaining the disciplinary knowledge of the domain area and in</w:t>
      </w:r>
      <w:r w:rsidRPr="005B5164">
        <w:rPr>
          <w:rFonts w:ascii="Times New Roman" w:hAnsi="Times New Roman" w:cs="Times New Roman"/>
          <w:sz w:val="20"/>
          <w:szCs w:val="20"/>
        </w:rPr>
        <w:noBreakHyphen/>
        <w:t xml:space="preserve">dept understanding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w:instrTex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EN.CITE.DATA </w:instrTex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(Fagan, 2020; Gamede, 2006; Luckett, 2019; Maniram, 2018; Mistri, 2016; Myers, 2019; Ongito, 2012; Venter, 2020)</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Some studies aligned with this </w:t>
      </w:r>
      <w:r w:rsidRPr="005B5164">
        <w:rPr>
          <w:rFonts w:ascii="Times New Roman" w:hAnsi="Times New Roman" w:cs="Times New Roman"/>
          <w:sz w:val="20"/>
          <w:szCs w:val="20"/>
        </w:rPr>
        <w:lastRenderedPageBreak/>
        <w:t xml:space="preserve">view, though with varied perspectives. Some consider epistemological access which was first used by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 AuthorYear="1"&gt;&lt;Author&gt;Willey&lt;/Author&gt;&lt;Year&gt;2007&lt;/Year&gt;&lt;RecNum&gt;2883&lt;/RecNum&gt;&lt;DisplayText&gt;Willey (2007)&lt;/DisplayText&gt;&lt;record&gt;&lt;rec-number&gt;2883&lt;/rec-number&gt;&lt;foreign-keys&gt;&lt;key app="EN" db-id="zazt0005c02a9aeaxpdv00p7tpexrpww9r0a" timestamp="1663683512"&gt;2883&lt;/key&gt;&lt;/foreign-keys&gt;&lt;ref-type name="Journal Article"&gt;17&lt;/ref-type&gt;&lt;contributors&gt;&lt;authors&gt;&lt;author&gt;Willey, Morrow&lt;/author&gt;&lt;/authors&gt;&lt;/contributors&gt;&lt;titles&gt;&lt;title&gt;Learning to teach in South Africa&lt;/title&gt;&lt;/titles&gt;&lt;dates&gt;&lt;year&gt;2007&lt;/year&gt;&lt;/dates&gt;&lt;urls&gt;&lt;/urls&gt;&lt;/record&gt;&lt;/Cite&gt;&lt;/EndNote&gt;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Willey (2007)</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a South African scholar, who problematized access to higher education. He used the term to describe two dimensions of access to higher education, being institutional (formal access) and access to knowledge, which he believes institutions distribute (epistemological access). </w:t>
      </w:r>
    </w:p>
    <w:p w14:paraId="152E6FEB" w14:textId="3EDACEA9" w:rsidR="00B70B8D" w:rsidRPr="005B5164" w:rsidRDefault="00397AB8" w:rsidP="002808E4">
      <w:pPr>
        <w:spacing w:after="0" w:line="240" w:lineRule="auto"/>
        <w:ind w:leftChars="0" w:left="0" w:firstLineChars="0" w:firstLine="270"/>
        <w:jc w:val="both"/>
        <w:rPr>
          <w:rFonts w:ascii="Times New Roman" w:hAnsi="Times New Roman" w:cs="Times New Roman"/>
          <w:sz w:val="20"/>
          <w:szCs w:val="20"/>
        </w:rPr>
      </w:pPr>
      <w:r w:rsidRPr="005B5164">
        <w:rPr>
          <w:rFonts w:ascii="Times New Roman" w:hAnsi="Times New Roman" w:cs="Times New Roman"/>
          <w:sz w:val="20"/>
          <w:szCs w:val="20"/>
        </w:rPr>
        <w:t xml:space="preserve">However, finding from this study corroborates </w:t>
      </w:r>
      <w:r w:rsidR="00101656">
        <w:rPr>
          <w:rFonts w:ascii="Times New Roman" w:hAnsi="Times New Roman" w:cs="Times New Roman"/>
          <w:sz w:val="20"/>
          <w:szCs w:val="20"/>
        </w:rPr>
        <w:t xml:space="preserve">with </w:t>
      </w:r>
      <w:r w:rsidRPr="005B5164">
        <w:rPr>
          <w:rFonts w:ascii="Times New Roman" w:hAnsi="Times New Roman" w:cs="Times New Roman"/>
          <w:sz w:val="20"/>
          <w:szCs w:val="20"/>
        </w:rPr>
        <w:t xml:space="preserve">the second perspective (i.e., access to knowledge which morrow believes institution distribute ‘epistemological access’). Within this study epistemological access is pinned at meaningful access to knowledge, when learning is structured in a manner which ensures learners develop coherent ways of engaging with digital technologies and understanding different learning areas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&lt;EndNote&gt;&lt;Cite&gt;&lt;Author&gt;Pendlebury&lt;/Author&gt;&lt;Year&gt;2009&lt;/Year&gt;&lt;RecNum&gt;3143&lt;/RecNum&gt;&lt;Suffix&gt;`, p. 24-25&lt;/Suffix&gt;&lt;DisplayText&gt;(Pendlebury, 2009, p. 24-25)&lt;/DisplayText&gt;&lt;record&gt;&lt;rec-number&gt;3143&lt;/rec-number&gt;&lt;foreign-keys&gt;&lt;key app="EN" db-id="zazt0005c02a9aeaxpdv00p7tpexrpww9r0a" timestamp="1668167843"&gt;3143&lt;/key&gt;&lt;/foreign-keys&gt;&lt;ref-type name="Journal Article"&gt;17&lt;/ref-type&gt;&lt;contributors&gt;&lt;authors&gt;&lt;author&gt;Pendlebury, Shirley&lt;/author&gt;&lt;/authors&gt;&lt;/contributors&gt;&lt;titles&gt;&lt;title&gt;Meaningful access to basic education&lt;/title&gt;&lt;/titles&gt;&lt;dates&gt;&lt;year&gt;2009&lt;/year&gt;&lt;/dates&gt;&lt;urls&gt;&lt;/urls&gt;&lt;/record&gt;&lt;/Cite&gt;&lt;/EndNote&gt;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(Pendlebury, 2009, p. 24-25)</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This access, therefore, extends beyond mere physical access to include the ways in which learners are provided with quality </w:t>
      </w:r>
      <w:r w:rsidR="00101656">
        <w:rPr>
          <w:rFonts w:ascii="Times New Roman" w:hAnsi="Times New Roman" w:cs="Times New Roman"/>
          <w:sz w:val="20"/>
          <w:szCs w:val="20"/>
        </w:rPr>
        <w:t>education</w:t>
      </w:r>
      <w:r w:rsidRPr="005B5164">
        <w:rPr>
          <w:rFonts w:ascii="Times New Roman" w:hAnsi="Times New Roman" w:cs="Times New Roman"/>
          <w:sz w:val="20"/>
          <w:szCs w:val="20"/>
        </w:rPr>
        <w:t>. This is because our outcome describes activity</w:t>
      </w:r>
      <w:r w:rsidRPr="005B5164">
        <w:rPr>
          <w:rFonts w:ascii="Times New Roman" w:hAnsi="Times New Roman" w:cs="Times New Roman"/>
          <w:sz w:val="20"/>
          <w:szCs w:val="20"/>
        </w:rPr>
        <w:noBreakHyphen/>
        <w:t xml:space="preserve">based events as characterized gaining the right knowledge of the disciplinary domain, which is continuously influence by mechanisms of people, structures, and cultures. </w:t>
      </w:r>
    </w:p>
    <w:p w14:paraId="31883F46" w14:textId="77777777" w:rsidR="00B70B8D" w:rsidRPr="005B5164" w:rsidRDefault="00397AB8" w:rsidP="005977F2">
      <w:pPr>
        <w:spacing w:after="0" w:line="240" w:lineRule="auto"/>
        <w:ind w:leftChars="0" w:left="0" w:firstLineChars="0" w:firstLine="0"/>
        <w:jc w:val="both"/>
        <w:rPr>
          <w:rFonts w:ascii="Times New Roman" w:hAnsi="Times New Roman" w:cs="Times New Roman"/>
          <w:i/>
          <w:iCs/>
          <w:color w:val="000000"/>
          <w:sz w:val="20"/>
          <w:szCs w:val="20"/>
        </w:rPr>
      </w:pPr>
      <w:r w:rsidRPr="005B5164">
        <w:rPr>
          <w:rFonts w:ascii="Times New Roman" w:hAnsi="Times New Roman" w:cs="Times New Roman"/>
          <w:b/>
          <w:bCs/>
          <w:i/>
          <w:iCs/>
          <w:sz w:val="20"/>
          <w:szCs w:val="20"/>
        </w:rPr>
        <w:t>RQ1.</w:t>
      </w:r>
      <w:r w:rsidRPr="005B5164">
        <w:rPr>
          <w:rFonts w:ascii="Times New Roman" w:hAnsi="Times New Roman" w:cs="Times New Roman"/>
          <w:i/>
          <w:iCs/>
          <w:sz w:val="20"/>
          <w:szCs w:val="20"/>
        </w:rPr>
        <w:t xml:space="preserve"> </w:t>
      </w:r>
      <w:r w:rsidRPr="005B5164">
        <w:rPr>
          <w:rFonts w:ascii="Times New Roman" w:hAnsi="Times New Roman" w:cs="Times New Roman"/>
          <w:i/>
          <w:iCs/>
          <w:color w:val="000000"/>
          <w:sz w:val="20"/>
          <w:szCs w:val="20"/>
        </w:rPr>
        <w:t>How are the educational affordances of digital technologies for gaining epistemological access among marginalized groups contextualized in higher institutions in sub</w:t>
      </w:r>
      <w:r w:rsidRPr="005B5164">
        <w:rPr>
          <w:rFonts w:ascii="Times New Roman" w:hAnsi="Times New Roman" w:cs="Times New Roman"/>
          <w:i/>
          <w:iCs/>
          <w:color w:val="000000"/>
          <w:sz w:val="20"/>
          <w:szCs w:val="20"/>
        </w:rPr>
        <w:noBreakHyphen/>
        <w:t>Saharan African universities?</w:t>
      </w:r>
    </w:p>
    <w:p w14:paraId="52F01D0C" w14:textId="77777777" w:rsidR="00B70B8D" w:rsidRPr="005B5164" w:rsidRDefault="00397AB8" w:rsidP="002808E4">
      <w:pPr>
        <w:spacing w:after="0" w:line="240" w:lineRule="auto"/>
        <w:ind w:leftChars="0" w:left="0" w:firstLineChars="0" w:firstLine="270"/>
        <w:jc w:val="both"/>
        <w:rPr>
          <w:rFonts w:ascii="Times New Roman" w:hAnsi="Times New Roman" w:cs="Times New Roman"/>
          <w:sz w:val="20"/>
          <w:szCs w:val="20"/>
        </w:rPr>
      </w:pPr>
      <w:r w:rsidRPr="005B5164">
        <w:rPr>
          <w:rFonts w:ascii="Times New Roman" w:hAnsi="Times New Roman" w:cs="Times New Roman"/>
          <w:sz w:val="20"/>
          <w:szCs w:val="20"/>
        </w:rPr>
        <w:t>Thus, to answer RQ1 stated in the introduction, we cover extent literature to discover events that characterized epistemological access. Consequently, we identified three key themes from the synthesized literature. The themes include educational technological affordances, learning context, and dialogic activities. We discuss these themes by starting with the first theme, educational technological affordances, as detailed below.</w:t>
      </w:r>
    </w:p>
    <w:p w14:paraId="60972D2C" w14:textId="77777777" w:rsidR="00B70B8D" w:rsidRPr="005B5164" w:rsidRDefault="00397AB8" w:rsidP="005977F2">
      <w:pPr>
        <w:spacing w:after="0" w:line="240" w:lineRule="auto"/>
        <w:ind w:leftChars="0" w:left="0" w:firstLineChars="0" w:firstLine="0"/>
        <w:jc w:val="both"/>
        <w:rPr>
          <w:rFonts w:ascii="Times New Roman" w:hAnsi="Times New Roman" w:cs="Times New Roman"/>
          <w:b/>
          <w:bCs/>
          <w:i/>
          <w:iCs/>
          <w:sz w:val="20"/>
          <w:szCs w:val="20"/>
        </w:rPr>
      </w:pPr>
      <w:r w:rsidRPr="005B5164">
        <w:rPr>
          <w:rFonts w:ascii="Times New Roman" w:hAnsi="Times New Roman" w:cs="Times New Roman"/>
          <w:b/>
          <w:bCs/>
          <w:i/>
          <w:iCs/>
          <w:sz w:val="20"/>
          <w:szCs w:val="20"/>
        </w:rPr>
        <w:t xml:space="preserve">Theme One: </w:t>
      </w:r>
      <w:bookmarkStart w:id="6" w:name="_Hlk111229724"/>
      <w:r w:rsidRPr="005B5164">
        <w:rPr>
          <w:rFonts w:ascii="Times New Roman" w:hAnsi="Times New Roman" w:cs="Times New Roman"/>
          <w:b/>
          <w:bCs/>
          <w:i/>
          <w:iCs/>
          <w:sz w:val="20"/>
          <w:szCs w:val="20"/>
        </w:rPr>
        <w:t>educational technological affordances</w:t>
      </w:r>
    </w:p>
    <w:bookmarkEnd w:id="6"/>
    <w:p w14:paraId="22ACECB1" w14:textId="645A7E1B" w:rsidR="00B70B8D" w:rsidRPr="005B5164" w:rsidRDefault="00397AB8" w:rsidP="002808E4">
      <w:pPr>
        <w:pStyle w:val="Default"/>
        <w:ind w:firstLine="270"/>
        <w:jc w:val="both"/>
        <w:rPr>
          <w:sz w:val="20"/>
          <w:szCs w:val="20"/>
        </w:rPr>
      </w:pPr>
      <w:r w:rsidRPr="005B5164">
        <w:rPr>
          <w:sz w:val="20"/>
          <w:szCs w:val="20"/>
        </w:rPr>
        <w:t xml:space="preserve">The term ‘affordances’ </w:t>
      </w:r>
      <w:r w:rsidRPr="005B5164">
        <w:rPr>
          <w:sz w:val="20"/>
          <w:szCs w:val="20"/>
        </w:rPr>
        <w:fldChar w:fldCharType="begin"/>
      </w:r>
      <w:r w:rsidRPr="005B5164">
        <w:rPr>
          <w:sz w:val="20"/>
          <w:szCs w:val="20"/>
        </w:rPr>
        <w:instrText xml:space="preserve"> ADDIN EN.CITE &lt;EndNote&gt;&lt;Cite&gt;&lt;Author&gt;Gibson&lt;/Author&gt;&lt;Year&gt;1977&lt;/Year&gt;&lt;RecNum&gt;2802&lt;/RecNum&gt;&lt;DisplayText&gt;(Gibson, 1977)&lt;/DisplayText&gt;&lt;record&gt;&lt;rec-number&gt;2802&lt;/rec-number&gt;&lt;foreign-keys&gt;&lt;key app="EN" db-id="zazt0005c02a9aeaxpdv00p7tpexrpww9r0a" timestamp="1658211884"&gt;2802&lt;/key&gt;&lt;/foreign-keys&gt;&lt;ref-type name="Journal Article"&gt;17&lt;/ref-type&gt;&lt;contributors&gt;&lt;authors&gt;&lt;author&gt;Gibson, James J&lt;/author&gt;&lt;/authors&gt;&lt;/contributors&gt;&lt;titles&gt;&lt;title&gt;The theory of affordances&lt;/title&gt;&lt;secondary-title&gt;Hilldale, USA&lt;/secondary-title&gt;&lt;/titles&gt;&lt;periodical&gt;&lt;full-title&gt;Hilldale, USA&lt;/full-title&gt;&lt;/periodical&gt;&lt;pages&gt;67-82&lt;/pages&gt;&lt;volume&gt;1&lt;/volume&gt;&lt;number&gt;2&lt;/number&gt;&lt;dates&gt;&lt;year&gt;1977&lt;/year&gt;&lt;/dates&gt;&lt;urls&gt;&lt;/urls&gt;&lt;/record&gt;&lt;/Cite&gt;&lt;/EndNote&gt;</w:instrText>
      </w:r>
      <w:r w:rsidRPr="005B5164">
        <w:rPr>
          <w:sz w:val="20"/>
          <w:szCs w:val="20"/>
        </w:rPr>
        <w:fldChar w:fldCharType="separate"/>
      </w:r>
      <w:r w:rsidRPr="005B5164">
        <w:rPr>
          <w:noProof/>
          <w:sz w:val="20"/>
          <w:szCs w:val="20"/>
        </w:rPr>
        <w:t>(Gibson, 1977)</w:t>
      </w:r>
      <w:r w:rsidRPr="005B5164">
        <w:rPr>
          <w:sz w:val="20"/>
          <w:szCs w:val="20"/>
        </w:rPr>
        <w:fldChar w:fldCharType="end"/>
      </w:r>
      <w:r w:rsidRPr="005B5164">
        <w:rPr>
          <w:sz w:val="20"/>
          <w:szCs w:val="20"/>
        </w:rPr>
        <w:t xml:space="preserve">, often known as action possibilities, refers to the relationship between the perceived and actual qualities of digital technology. Thus, the way technology provides opportunities for learning is frequently influenced by the underlying pedagogy. Affordances and constraints, relates to how digital technologies might potentially be deployed and used </w:t>
      </w:r>
      <w:r w:rsidRPr="005B5164">
        <w:rPr>
          <w:sz w:val="20"/>
          <w:szCs w:val="20"/>
        </w:rPr>
        <w:fldChar w:fldCharType="begin"/>
      </w:r>
      <w:r w:rsidRPr="005B5164">
        <w:rPr>
          <w:sz w:val="20"/>
          <w:szCs w:val="20"/>
        </w:rPr>
        <w:instrText xml:space="preserve"> ADDIN EN.CITE &lt;EndNote&gt;&lt;Cite&gt;&lt;Author&gt;Major&lt;/Author&gt;&lt;Year&gt;2019&lt;/Year&gt;&lt;RecNum&gt;3105&lt;/RecNum&gt;&lt;DisplayText&gt;(Major &amp;amp; Warwick, 2019)&lt;/DisplayText&gt;&lt;record&gt;&lt;rec-number&gt;3105&lt;/rec-number&gt;&lt;foreign-keys&gt;&lt;key app="EN" db-id="zazt0005c02a9aeaxpdv00p7tpexrpww9r0a" timestamp="1666370441"&gt;3105&lt;/key&gt;&lt;/foreign-keys&gt;&lt;ref-type name="Book Section"&gt;5&lt;/ref-type&gt;&lt;contributors&gt;&lt;authors&gt;&lt;author&gt;Major, Louis&lt;/author&gt;&lt;author&gt;Warwick, Paul&lt;/author&gt;&lt;/authors&gt;&lt;/contributors&gt;&lt;titles&gt;&lt;title&gt;Affordances for dialogue: The role of digital technology in supporting productive classroom talk&lt;/title&gt;&lt;secondary-title&gt;The Routledge international handbook of research on dialogic education&lt;/secondary-title&gt;&lt;/titles&gt;&lt;pages&gt;394-410&lt;/pages&gt;&lt;dates&gt;&lt;year&gt;2019&lt;/year&gt;&lt;/dates&gt;&lt;publisher&gt;Routledge&lt;/publisher&gt;&lt;isbn&gt;0429441673&lt;/isbn&gt;&lt;urls&gt;&lt;/urls&gt;&lt;/record&gt;&lt;/Cite&gt;&lt;/EndNote&gt;</w:instrText>
      </w:r>
      <w:r w:rsidRPr="005B5164">
        <w:rPr>
          <w:sz w:val="20"/>
          <w:szCs w:val="20"/>
        </w:rPr>
        <w:fldChar w:fldCharType="separate"/>
      </w:r>
      <w:r w:rsidRPr="005B5164">
        <w:rPr>
          <w:noProof/>
          <w:sz w:val="20"/>
          <w:szCs w:val="20"/>
        </w:rPr>
        <w:t>(Major &amp; Warwick, 2019)</w:t>
      </w:r>
      <w:r w:rsidRPr="005B5164">
        <w:rPr>
          <w:sz w:val="20"/>
          <w:szCs w:val="20"/>
        </w:rPr>
        <w:fldChar w:fldCharType="end"/>
      </w:r>
      <w:r w:rsidRPr="005B5164">
        <w:rPr>
          <w:sz w:val="20"/>
          <w:szCs w:val="20"/>
        </w:rPr>
        <w:t xml:space="preserve">. Educational technological affordance is one of the key existing entities that is fundamental to epistemological access in the current trends </w:t>
      </w:r>
      <w:r w:rsidRPr="005B5164">
        <w:rPr>
          <w:sz w:val="20"/>
          <w:szCs w:val="20"/>
        </w:rPr>
        <w:fldChar w:fldCharType="begin"/>
      </w:r>
      <w:r w:rsidRPr="005B5164">
        <w:rPr>
          <w:sz w:val="20"/>
          <w:szCs w:val="20"/>
        </w:rPr>
        <w:instrText xml:space="preserve"> ADDIN EN.CITE </w:instrText>
      </w:r>
      <w:r w:rsidRPr="005B5164">
        <w:rPr>
          <w:sz w:val="20"/>
          <w:szCs w:val="20"/>
        </w:rPr>
        <w:fldChar w:fldCharType="begin"/>
      </w:r>
      <w:r w:rsidRPr="005B5164">
        <w:rPr>
          <w:sz w:val="20"/>
          <w:szCs w:val="20"/>
        </w:rPr>
        <w:instrText xml:space="preserve"> ADDIN EN.CITE.DATA </w:instrText>
      </w:r>
      <w:r w:rsidRPr="005B5164">
        <w:rPr>
          <w:sz w:val="20"/>
          <w:szCs w:val="20"/>
        </w:rPr>
        <w:fldChar w:fldCharType="end"/>
      </w:r>
      <w:r w:rsidRPr="005B5164">
        <w:rPr>
          <w:sz w:val="20"/>
          <w:szCs w:val="20"/>
        </w:rPr>
        <w:fldChar w:fldCharType="separate"/>
      </w:r>
      <w:r w:rsidRPr="005B5164">
        <w:rPr>
          <w:noProof/>
          <w:sz w:val="20"/>
          <w:szCs w:val="20"/>
        </w:rPr>
        <w:t>(Bower, 2008; Major et al., 2022; Major et al., 2018)</w:t>
      </w:r>
      <w:r w:rsidRPr="005B5164">
        <w:rPr>
          <w:sz w:val="20"/>
          <w:szCs w:val="20"/>
        </w:rPr>
        <w:fldChar w:fldCharType="end"/>
      </w:r>
      <w:r w:rsidRPr="005B5164">
        <w:rPr>
          <w:sz w:val="20"/>
          <w:szCs w:val="20"/>
        </w:rPr>
        <w:t>. This theme, ‘educational technological affordances,’ explores the concepts that describe the relevancy of education using ICT</w:t>
      </w:r>
      <w:r w:rsidRPr="005B5164">
        <w:rPr>
          <w:sz w:val="20"/>
          <w:szCs w:val="20"/>
        </w:rPr>
        <w:noBreakHyphen/>
        <w:t xml:space="preserve">related facilities. The concepts of educational technological affordances include engaging in productive processes, engaging in co-construction, monitoring and regulation, </w:t>
      </w:r>
      <w:r w:rsidRPr="005B5164">
        <w:rPr>
          <w:sz w:val="20"/>
          <w:szCs w:val="20"/>
        </w:rPr>
        <w:fldChar w:fldCharType="begin"/>
      </w:r>
      <w:r w:rsidRPr="005B5164">
        <w:rPr>
          <w:sz w:val="20"/>
          <w:szCs w:val="20"/>
        </w:rPr>
        <w:instrText xml:space="preserve"> ADDIN EN.CITE &lt;EndNote&gt;&lt;Cite&gt;&lt;Author&gt;Jeong&lt;/Author&gt;&lt;Year&gt;2016&lt;/Year&gt;&lt;RecNum&gt;2959&lt;/RecNum&gt;&lt;DisplayText&gt;(Jeong &amp;amp; Hmelo-Silver, 2016)&lt;/DisplayText&gt;&lt;record&gt;&lt;rec-number&gt;2959&lt;/rec-number&gt;&lt;foreign-keys&gt;&lt;key app="EN" db-id="zazt0005c02a9aeaxpdv00p7tpexrpww9r0a" timestamp="1664456176"&gt;2959&lt;/key&gt;&lt;/foreign-keys&gt;&lt;ref-type name="Journal Article"&gt;17&lt;/ref-type&gt;&lt;contributors&gt;&lt;authors&gt;&lt;author&gt;Jeong, Heisawn&lt;/author&gt;&lt;author&gt;Hmelo-Silver, Cindy E&lt;/author&gt;&lt;/authors&gt;&lt;/contributors&gt;&lt;titles&gt;&lt;title&gt;Seven affordances of computer-supported collaborative learning: How to support collaborative learning? How can technologies help?&lt;/title&gt;&lt;secondary-title&gt;Educational Psychologist&lt;/secondary-title&gt;&lt;/titles&gt;&lt;periodical&gt;&lt;full-title&gt;Educational psychologist&lt;/full-title&gt;&lt;/periodical&gt;&lt;pages&gt;247-265&lt;/pages&gt;&lt;volume&gt;51&lt;/volume&gt;&lt;number&gt;2&lt;/number&gt;&lt;dates&gt;&lt;year&gt;2016&lt;/year&gt;&lt;/dates&gt;&lt;isbn&gt;0046-1520&lt;/isbn&gt;&lt;urls&gt;&lt;/urls&gt;&lt;/record&gt;&lt;/Cite&gt;&lt;/EndNote&gt;</w:instrText>
      </w:r>
      <w:r w:rsidRPr="005B5164">
        <w:rPr>
          <w:sz w:val="20"/>
          <w:szCs w:val="20"/>
        </w:rPr>
        <w:fldChar w:fldCharType="separate"/>
      </w:r>
      <w:r w:rsidRPr="005B5164">
        <w:rPr>
          <w:noProof/>
          <w:sz w:val="20"/>
          <w:szCs w:val="20"/>
        </w:rPr>
        <w:t>(Jeong &amp; Hmelo-Silver, 2016)</w:t>
      </w:r>
      <w:r w:rsidRPr="005B5164">
        <w:rPr>
          <w:sz w:val="20"/>
          <w:szCs w:val="20"/>
        </w:rPr>
        <w:fldChar w:fldCharType="end"/>
      </w:r>
      <w:r w:rsidRPr="005B5164">
        <w:rPr>
          <w:sz w:val="20"/>
          <w:szCs w:val="20"/>
        </w:rPr>
        <w:t xml:space="preserve">, representation of content </w:t>
      </w:r>
      <w:r w:rsidRPr="005B5164">
        <w:rPr>
          <w:sz w:val="20"/>
          <w:szCs w:val="20"/>
        </w:rPr>
        <w:fldChar w:fldCharType="begin"/>
      </w:r>
      <w:r w:rsidRPr="005B5164">
        <w:rPr>
          <w:sz w:val="20"/>
          <w:szCs w:val="20"/>
        </w:rPr>
        <w:instrText xml:space="preserve"> ADDIN EN.CITE &lt;EndNote&gt;&lt;Cite&gt;&lt;Author&gt;Major&lt;/Author&gt;&lt;Year&gt;2019&lt;/Year&gt;&lt;RecNum&gt;3105&lt;/RecNum&gt;&lt;DisplayText&gt;(Major &amp;amp; Warwick, 2019)&lt;/DisplayText&gt;&lt;record&gt;&lt;rec-number&gt;3105&lt;/rec-number&gt;&lt;foreign-keys&gt;&lt;key app="EN" db-id="zazt0005c02a9aeaxpdv00p7tpexrpww9r0a" timestamp="1666370441"&gt;3105&lt;/key&gt;&lt;/foreign-keys&gt;&lt;ref-type name="Book Section"&gt;5&lt;/ref-type&gt;&lt;contributors&gt;&lt;authors&gt;&lt;author&gt;Major, Louis&lt;/author&gt;&lt;author&gt;Warwick, Paul&lt;/author&gt;&lt;/authors&gt;&lt;/contributors&gt;&lt;titles&gt;&lt;title&gt;Affordances for dialogue: The role of digital technology in supporting productive classroom talk&lt;/title&gt;&lt;secondary-title&gt;The Routledge international handbook of research on dialogic education&lt;/secondary-title&gt;&lt;/titles&gt;&lt;pages&gt;394-410&lt;/pages&gt;&lt;dates&gt;&lt;year&gt;2019&lt;/year&gt;&lt;/dates&gt;&lt;publisher&gt;Routledge&lt;/publisher&gt;&lt;isbn&gt;0429441673&lt;/isbn&gt;&lt;urls&gt;&lt;/urls&gt;&lt;/record&gt;&lt;/Cite&gt;&lt;/EndNote&gt;</w:instrText>
      </w:r>
      <w:r w:rsidRPr="005B5164">
        <w:rPr>
          <w:sz w:val="20"/>
          <w:szCs w:val="20"/>
        </w:rPr>
        <w:fldChar w:fldCharType="separate"/>
      </w:r>
      <w:r w:rsidRPr="005B5164">
        <w:rPr>
          <w:noProof/>
          <w:sz w:val="20"/>
          <w:szCs w:val="20"/>
        </w:rPr>
        <w:t>(Major &amp; Warwick, 2019)</w:t>
      </w:r>
      <w:r w:rsidRPr="005B5164">
        <w:rPr>
          <w:sz w:val="20"/>
          <w:szCs w:val="20"/>
        </w:rPr>
        <w:fldChar w:fldCharType="end"/>
      </w:r>
      <w:r w:rsidRPr="005B5164">
        <w:rPr>
          <w:sz w:val="20"/>
          <w:szCs w:val="20"/>
        </w:rPr>
        <w:t xml:space="preserve">, engaging in productive processes, engaging in co-construction, monitoring and regulation </w:t>
      </w:r>
      <w:r w:rsidRPr="005B5164">
        <w:rPr>
          <w:sz w:val="20"/>
          <w:szCs w:val="20"/>
        </w:rPr>
        <w:fldChar w:fldCharType="begin"/>
      </w:r>
      <w:r w:rsidRPr="005B5164">
        <w:rPr>
          <w:sz w:val="20"/>
          <w:szCs w:val="20"/>
        </w:rPr>
        <w:instrText xml:space="preserve"> ADDIN EN.CITE &lt;EndNote&gt;&lt;Cite&gt;&lt;Author&gt;Jeong&lt;/Author&gt;&lt;Year&gt;2016&lt;/Year&gt;&lt;RecNum&gt;2208&lt;/RecNum&gt;&lt;DisplayText&gt;(Jeong &amp;amp; Hmelo-Silver, 2016)&lt;/DisplayText&gt;&lt;record&gt;&lt;rec-number&gt;2208&lt;/rec-number&gt;&lt;foreign-keys&gt;&lt;key app="EN" db-id="zazt0005c02a9aeaxpdv00p7tpexrpww9r0a" timestamp="1652919816"&gt;2208&lt;/key&gt;&lt;/foreign-keys&gt;&lt;ref-type name="Journal Article"&gt;17&lt;/ref-type&gt;&lt;contributors&gt;&lt;authors&gt;&lt;author&gt;Jeong, Heisawn&lt;/author&gt;&lt;author&gt;Hmelo-Silver, Cindy E.&lt;/author&gt;&lt;/authors&gt;&lt;/contributors&gt;&lt;titles&gt;&lt;title&gt;Seven Affordances of Computer-Supported Collaborative Learning: How to Support Collaborative Learning? How Can Technologies Help?&lt;/title&gt;&lt;secondary-title&gt;Educational Psychologist&lt;/secondary-title&gt;&lt;/titles&gt;&lt;periodical&gt;&lt;full-title&gt;Educational psychologist&lt;/full-title&gt;&lt;/periodical&gt;&lt;pages&gt;247-265&lt;/pages&gt;&lt;volume&gt;51&lt;/volume&gt;&lt;number&gt;2&lt;/number&gt;&lt;dates&gt;&lt;year&gt;2016&lt;/year&gt;&lt;pub-dates&gt;&lt;date&gt;2016/04/02&lt;/date&gt;&lt;/pub-dates&gt;&lt;/dates&gt;&lt;publisher&gt;Routledge&lt;/publisher&gt;&lt;isbn&gt;0046-1520&lt;/isbn&gt;&lt;urls&gt;&lt;related-urls&gt;&lt;url&gt;https://doi.org/10.1080/00461520.2016.1158654&lt;/url&gt;&lt;/related-urls&gt;&lt;/urls&gt;&lt;electronic-resource-num&gt;10.1080/00461520.2016.1158654&lt;/electronic-resource-num&gt;&lt;/record&gt;&lt;/Cite&gt;&lt;/EndNote&gt;</w:instrText>
      </w:r>
      <w:r w:rsidRPr="005B5164">
        <w:rPr>
          <w:sz w:val="20"/>
          <w:szCs w:val="20"/>
        </w:rPr>
        <w:fldChar w:fldCharType="separate"/>
      </w:r>
      <w:r w:rsidRPr="005B5164">
        <w:rPr>
          <w:noProof/>
          <w:sz w:val="20"/>
          <w:szCs w:val="20"/>
        </w:rPr>
        <w:t>(Jeong &amp; Hmelo-Silver, 2016)</w:t>
      </w:r>
      <w:r w:rsidRPr="005B5164">
        <w:rPr>
          <w:sz w:val="20"/>
          <w:szCs w:val="20"/>
        </w:rPr>
        <w:fldChar w:fldCharType="end"/>
      </w:r>
      <w:r w:rsidRPr="005B5164">
        <w:rPr>
          <w:sz w:val="20"/>
          <w:szCs w:val="20"/>
        </w:rPr>
        <w:t xml:space="preserve">, browsing, selection, supportive/challenging, assistive memory, control </w:t>
      </w:r>
      <w:r w:rsidRPr="005B5164">
        <w:rPr>
          <w:sz w:val="20"/>
          <w:szCs w:val="20"/>
        </w:rPr>
        <w:fldChar w:fldCharType="begin"/>
      </w:r>
      <w:r w:rsidRPr="005B5164">
        <w:rPr>
          <w:sz w:val="20"/>
          <w:szCs w:val="20"/>
        </w:rPr>
        <w:instrText xml:space="preserve"> ADDIN EN.CITE &lt;EndNote&gt;&lt;Cite&gt;&lt;Author&gt;Cook&lt;/Author&gt;&lt;Year&gt;2019&lt;/Year&gt;&lt;RecNum&gt;3107&lt;/RecNum&gt;&lt;DisplayText&gt;(Cook et al., 2019)&lt;/DisplayText&gt;&lt;record&gt;&lt;rec-number&gt;3107&lt;/rec-number&gt;&lt;foreign-keys&gt;&lt;key app="EN" db-id="zazt0005c02a9aeaxpdv00p7tpexrpww9r0a" timestamp="1666371164"&gt;3107&lt;/key&gt;&lt;/foreign-keys&gt;&lt;ref-type name="Journal Article"&gt;17&lt;/ref-type&gt;&lt;contributors&gt;&lt;authors&gt;&lt;author&gt;Cook, Victoria&lt;/author&gt;&lt;author&gt;Warwick, Paul&lt;/author&gt;&lt;author&gt;Vrikki, M&lt;/author&gt;&lt;author&gt;Major, Louis&lt;/author&gt;&lt;author&gt;Wegerif, Rupert&lt;/author&gt;&lt;/authors&gt;&lt;/contributors&gt;&lt;titles&gt;&lt;title&gt;Developing material-dialogic space in geography learning and teaching: Combining a dialogic pedagogy with the use of a microblogging tool&lt;/title&gt;&lt;secondary-title&gt;Thinking Skills and Creativity&lt;/secondary-title&gt;&lt;/titles&gt;&lt;periodical&gt;&lt;full-title&gt;Thinking Skills and Creativity&lt;/full-title&gt;&lt;/periodical&gt;&lt;pages&gt;217-231&lt;/pages&gt;&lt;volume&gt;31&lt;/volume&gt;&lt;dates&gt;&lt;year&gt;2019&lt;/year&gt;&lt;/dates&gt;&lt;isbn&gt;1871-1871&lt;/isbn&gt;&lt;urls&gt;&lt;/urls&gt;&lt;/record&gt;&lt;/Cite&gt;&lt;/EndNote&gt;</w:instrText>
      </w:r>
      <w:r w:rsidRPr="005B5164">
        <w:rPr>
          <w:sz w:val="20"/>
          <w:szCs w:val="20"/>
        </w:rPr>
        <w:fldChar w:fldCharType="separate"/>
      </w:r>
      <w:r w:rsidRPr="005B5164">
        <w:rPr>
          <w:noProof/>
          <w:sz w:val="20"/>
          <w:szCs w:val="20"/>
        </w:rPr>
        <w:t>(Cook et al., 2019)</w:t>
      </w:r>
      <w:r w:rsidRPr="005B5164">
        <w:rPr>
          <w:sz w:val="20"/>
          <w:szCs w:val="20"/>
        </w:rPr>
        <w:fldChar w:fldCharType="end"/>
      </w:r>
      <w:r w:rsidRPr="005B5164">
        <w:rPr>
          <w:sz w:val="20"/>
          <w:szCs w:val="20"/>
        </w:rPr>
        <w:t xml:space="preserve">, and usability </w:t>
      </w:r>
      <w:r w:rsidRPr="005B5164">
        <w:rPr>
          <w:sz w:val="20"/>
          <w:szCs w:val="20"/>
        </w:rPr>
        <w:fldChar w:fldCharType="begin"/>
      </w:r>
      <w:r w:rsidRPr="005B5164">
        <w:rPr>
          <w:sz w:val="20"/>
          <w:szCs w:val="20"/>
        </w:rPr>
        <w:instrText xml:space="preserve"> ADDIN EN.CITE &lt;EndNote&gt;&lt;Cite&gt;&lt;Author&gt;Shin&lt;/Author&gt;&lt;Year&gt;2021&lt;/Year&gt;&lt;RecNum&gt;309&lt;/RecNum&gt;&lt;DisplayText&gt;(Shin, 2021)&lt;/DisplayText&gt;&lt;record&gt;&lt;rec-number&gt;309&lt;/rec-number&gt;&lt;foreign-keys&gt;&lt;key app="EN" db-id="zazt0005c02a9aeaxpdv00p7tpexrpww9r0a" timestamp="1648502995"&gt;309&lt;/key&gt;&lt;/foreign-keys&gt;&lt;ref-type name="Journal Article"&gt;17&lt;/ref-type&gt;&lt;contributors&gt;&lt;authors&gt;&lt;author&gt;Shin, Donghee&lt;/author&gt;&lt;/authors&gt;&lt;/contributors&gt;&lt;titles&gt;&lt;title&gt;Does augmented reality augment user affordance? The effect of technological characteristics on game behaviour&lt;/title&gt;&lt;secondary-title&gt;Behaviour &amp;amp; Information Technology&lt;/secondary-title&gt;&lt;/titles&gt;&lt;periodical&gt;&lt;full-title&gt;Behaviour &amp;amp; Information Technology&lt;/full-title&gt;&lt;/periodical&gt;&lt;pages&gt;1-17&lt;/pages&gt;&lt;dates&gt;&lt;year&gt;2021&lt;/year&gt;&lt;/dates&gt;&lt;isbn&gt;0144-929X&lt;/isbn&gt;&lt;urls&gt;&lt;/urls&gt;&lt;/record&gt;&lt;/Cite&gt;&lt;/EndNote&gt;</w:instrText>
      </w:r>
      <w:r w:rsidRPr="005B5164">
        <w:rPr>
          <w:sz w:val="20"/>
          <w:szCs w:val="20"/>
        </w:rPr>
        <w:fldChar w:fldCharType="separate"/>
      </w:r>
      <w:r w:rsidRPr="005B5164">
        <w:rPr>
          <w:noProof/>
          <w:sz w:val="20"/>
          <w:szCs w:val="20"/>
        </w:rPr>
        <w:t>(Shin, 2021)</w:t>
      </w:r>
      <w:r w:rsidRPr="005B5164">
        <w:rPr>
          <w:sz w:val="20"/>
          <w:szCs w:val="20"/>
        </w:rPr>
        <w:fldChar w:fldCharType="end"/>
      </w:r>
      <w:r w:rsidRPr="005B5164">
        <w:rPr>
          <w:sz w:val="20"/>
          <w:szCs w:val="20"/>
        </w:rPr>
        <w:t xml:space="preserve">. Educational technological affordance guide towards gaining access to education in higher education institutions. Thus, affordance has been used in other fields like human-computer interaction </w:t>
      </w:r>
      <w:r w:rsidRPr="005B5164">
        <w:rPr>
          <w:sz w:val="20"/>
          <w:szCs w:val="20"/>
        </w:rPr>
        <w:fldChar w:fldCharType="begin"/>
      </w:r>
      <w:r w:rsidRPr="005B5164">
        <w:rPr>
          <w:sz w:val="20"/>
          <w:szCs w:val="20"/>
        </w:rPr>
        <w:instrText xml:space="preserve"> ADDIN EN.CITE &lt;EndNote&gt;&lt;Cite&gt;&lt;Author&gt;Turner&lt;/Author&gt;&lt;Year&gt;2005&lt;/Year&gt;&lt;RecNum&gt;2928&lt;/RecNum&gt;&lt;DisplayText&gt;(Turner, 2005)&lt;/DisplayText&gt;&lt;record&gt;&lt;rec-number&gt;2928&lt;/rec-number&gt;&lt;foreign-keys&gt;&lt;key app="EN" db-id="zazt0005c02a9aeaxpdv00p7tpexrpww9r0a" timestamp="1664199088"&gt;2928&lt;/key&gt;&lt;/foreign-keys&gt;&lt;ref-type name="Journal Article"&gt;17&lt;/ref-type&gt;&lt;contributors&gt;&lt;authors&gt;&lt;author&gt;Turner, Phil&lt;/author&gt;&lt;/authors&gt;&lt;/contributors&gt;&lt;titles&gt;&lt;title&gt;Affordance as context&lt;/title&gt;&lt;secondary-title&gt;Interacting with computers&lt;/secondary-title&gt;&lt;/titles&gt;&lt;periodical&gt;&lt;full-title&gt;Interacting with computers&lt;/full-title&gt;&lt;/periodical&gt;&lt;pages&gt;787-800&lt;/pages&gt;&lt;volume&gt;17&lt;/volume&gt;&lt;number&gt;6&lt;/number&gt;&lt;dates&gt;&lt;year&gt;2005&lt;/year&gt;&lt;/dates&gt;&lt;isbn&gt;1873-7951&lt;/isbn&gt;&lt;urls&gt;&lt;/urls&gt;&lt;/record&gt;&lt;/Cite&gt;&lt;/EndNote&gt;</w:instrText>
      </w:r>
      <w:r w:rsidRPr="005B5164">
        <w:rPr>
          <w:sz w:val="20"/>
          <w:szCs w:val="20"/>
        </w:rPr>
        <w:fldChar w:fldCharType="separate"/>
      </w:r>
      <w:r w:rsidRPr="005B5164">
        <w:rPr>
          <w:noProof/>
          <w:sz w:val="20"/>
          <w:szCs w:val="20"/>
        </w:rPr>
        <w:t>(Turner, 2005)</w:t>
      </w:r>
      <w:r w:rsidRPr="005B5164">
        <w:rPr>
          <w:sz w:val="20"/>
          <w:szCs w:val="20"/>
        </w:rPr>
        <w:fldChar w:fldCharType="end"/>
      </w:r>
      <w:r w:rsidRPr="005B5164">
        <w:rPr>
          <w:sz w:val="20"/>
          <w:szCs w:val="20"/>
        </w:rPr>
        <w:t xml:space="preserve">, information systems </w:t>
      </w:r>
      <w:r w:rsidRPr="005B5164">
        <w:rPr>
          <w:sz w:val="20"/>
          <w:szCs w:val="20"/>
        </w:rPr>
        <w:fldChar w:fldCharType="begin"/>
      </w:r>
      <w:r w:rsidRPr="005B5164">
        <w:rPr>
          <w:sz w:val="20"/>
          <w:szCs w:val="20"/>
        </w:rPr>
        <w:instrText xml:space="preserve"> ADDIN EN.CITE </w:instrText>
      </w:r>
      <w:r w:rsidRPr="005B5164">
        <w:rPr>
          <w:sz w:val="20"/>
          <w:szCs w:val="20"/>
        </w:rPr>
        <w:fldChar w:fldCharType="begin"/>
      </w:r>
      <w:r w:rsidRPr="005B5164">
        <w:rPr>
          <w:sz w:val="20"/>
          <w:szCs w:val="20"/>
        </w:rPr>
        <w:instrText xml:space="preserve"> ADDIN EN.CITE.DATA </w:instrText>
      </w:r>
      <w:r w:rsidRPr="005B5164">
        <w:rPr>
          <w:sz w:val="20"/>
          <w:szCs w:val="20"/>
        </w:rPr>
        <w:fldChar w:fldCharType="end"/>
      </w:r>
      <w:r w:rsidRPr="005B5164">
        <w:rPr>
          <w:sz w:val="20"/>
          <w:szCs w:val="20"/>
        </w:rPr>
        <w:fldChar w:fldCharType="separate"/>
      </w:r>
      <w:r w:rsidRPr="005B5164">
        <w:rPr>
          <w:noProof/>
          <w:sz w:val="20"/>
          <w:szCs w:val="20"/>
        </w:rPr>
        <w:t>(Norman, 1999; Seidel et al., 2013; Volkoff &amp; Strong, 2017)</w:t>
      </w:r>
      <w:r w:rsidRPr="005B5164">
        <w:rPr>
          <w:sz w:val="20"/>
          <w:szCs w:val="20"/>
        </w:rPr>
        <w:fldChar w:fldCharType="end"/>
      </w:r>
      <w:r w:rsidRPr="005B5164">
        <w:rPr>
          <w:sz w:val="20"/>
          <w:szCs w:val="20"/>
        </w:rPr>
        <w:t xml:space="preserve">, computer science, decision support systems </w:t>
      </w:r>
      <w:r w:rsidRPr="005B5164">
        <w:rPr>
          <w:sz w:val="20"/>
          <w:szCs w:val="20"/>
        </w:rPr>
        <w:fldChar w:fldCharType="begin"/>
      </w:r>
      <w:r w:rsidRPr="005B5164">
        <w:rPr>
          <w:sz w:val="20"/>
          <w:szCs w:val="20"/>
        </w:rPr>
        <w:instrText xml:space="preserve"> ADDIN EN.CITE &lt;EndNote&gt;&lt;Cite&gt;&lt;Author&gt;Leifler&lt;/Author&gt;&lt;Year&gt;2011&lt;/Year&gt;&lt;RecNum&gt;2816&lt;/RecNum&gt;&lt;DisplayText&gt;(Leifler, 2011)&lt;/DisplayText&gt;&lt;record&gt;&lt;rec-number&gt;2816&lt;/rec-number&gt;&lt;foreign-keys&gt;&lt;key app="EN" db-id="zazt0005c02a9aeaxpdv00p7tpexrpww9r0a" timestamp="1658434261"&gt;2816&lt;/key&gt;&lt;/foreign-keys&gt;&lt;ref-type name="Thesis"&gt;32&lt;/ref-type&gt;&lt;contributors&gt;&lt;authors&gt;&lt;author&gt;Leifler, Ola&lt;/author&gt;&lt;/authors&gt;&lt;/contributors&gt;&lt;titles&gt;&lt;title&gt;Affordances and Constraints of Intelligent Decision Support for Military Command and Control: Three Case Studies of Support Systems&lt;/title&gt;&lt;/titles&gt;&lt;dates&gt;&lt;year&gt;2011&lt;/year&gt;&lt;/dates&gt;&lt;publisher&gt;Linköping University Electronic Press&lt;/publisher&gt;&lt;urls&gt;&lt;/urls&gt;&lt;/record&gt;&lt;/Cite&gt;&lt;/EndNote&gt;</w:instrText>
      </w:r>
      <w:r w:rsidRPr="005B5164">
        <w:rPr>
          <w:sz w:val="20"/>
          <w:szCs w:val="20"/>
        </w:rPr>
        <w:fldChar w:fldCharType="separate"/>
      </w:r>
      <w:r w:rsidRPr="005B5164">
        <w:rPr>
          <w:noProof/>
          <w:sz w:val="20"/>
          <w:szCs w:val="20"/>
        </w:rPr>
        <w:t>(Leifler, 2011)</w:t>
      </w:r>
      <w:r w:rsidRPr="005B5164">
        <w:rPr>
          <w:sz w:val="20"/>
          <w:szCs w:val="20"/>
        </w:rPr>
        <w:fldChar w:fldCharType="end"/>
      </w:r>
      <w:r w:rsidRPr="005B5164">
        <w:rPr>
          <w:sz w:val="20"/>
          <w:szCs w:val="20"/>
        </w:rPr>
        <w:t xml:space="preserve">, artificial intelligence and robotics </w:t>
      </w:r>
      <w:r w:rsidRPr="005B5164">
        <w:rPr>
          <w:sz w:val="20"/>
          <w:szCs w:val="20"/>
        </w:rPr>
        <w:fldChar w:fldCharType="begin"/>
      </w:r>
      <w:r w:rsidRPr="005B5164">
        <w:rPr>
          <w:sz w:val="20"/>
          <w:szCs w:val="20"/>
        </w:rPr>
        <w:instrText xml:space="preserve"> ADDIN EN.CITE &lt;EndNote&gt;&lt;Cite&gt;&lt;Author&gt;Lemaignan&lt;/Author&gt;&lt;Year&gt;2017&lt;/Year&gt;&lt;RecNum&gt;2926&lt;/RecNum&gt;&lt;DisplayText&gt;(Lemaignan et al., 2017)&lt;/DisplayText&gt;&lt;record&gt;&lt;rec-number&gt;2926&lt;/rec-number&gt;&lt;foreign-keys&gt;&lt;key app="EN" db-id="zazt0005c02a9aeaxpdv00p7tpexrpww9r0a" timestamp="1664198674"&gt;2926&lt;/key&gt;&lt;/foreign-keys&gt;&lt;ref-type name="Journal Article"&gt;17&lt;/ref-type&gt;&lt;contributors&gt;&lt;authors&gt;&lt;author&gt;Lemaignan, Séverin&lt;/author&gt;&lt;author&gt;Warnier, Mathieu&lt;/author&gt;&lt;author&gt;Sisbot, E Akin&lt;/author&gt;&lt;author&gt;Clodic, Aurélie&lt;/author&gt;&lt;author&gt;Alami, Rachid&lt;/author&gt;&lt;/authors&gt;&lt;/contributors&gt;&lt;titles&gt;&lt;title&gt;Artificial cognition for social human–robot interaction: An implementation&lt;/title&gt;&lt;secondary-title&gt;Artificial Intelligence&lt;/secondary-title&gt;&lt;/titles&gt;&lt;periodical&gt;&lt;full-title&gt;Artificial Intelligence&lt;/full-title&gt;&lt;/periodical&gt;&lt;pages&gt;45-69&lt;/pages&gt;&lt;volume&gt;247&lt;/volume&gt;&lt;dates&gt;&lt;year&gt;2017&lt;/year&gt;&lt;/dates&gt;&lt;isbn&gt;0004-3702&lt;/isbn&gt;&lt;urls&gt;&lt;/urls&gt;&lt;/record&gt;&lt;/Cite&gt;&lt;/EndNote&gt;</w:instrText>
      </w:r>
      <w:r w:rsidRPr="005B5164">
        <w:rPr>
          <w:sz w:val="20"/>
          <w:szCs w:val="20"/>
        </w:rPr>
        <w:fldChar w:fldCharType="separate"/>
      </w:r>
      <w:r w:rsidRPr="005B5164">
        <w:rPr>
          <w:noProof/>
          <w:sz w:val="20"/>
          <w:szCs w:val="20"/>
        </w:rPr>
        <w:t>(Lemaignan et al., 2017)</w:t>
      </w:r>
      <w:r w:rsidRPr="005B5164">
        <w:rPr>
          <w:sz w:val="20"/>
          <w:szCs w:val="20"/>
        </w:rPr>
        <w:fldChar w:fldCharType="end"/>
      </w:r>
      <w:r w:rsidRPr="005B5164">
        <w:rPr>
          <w:sz w:val="20"/>
          <w:szCs w:val="20"/>
        </w:rPr>
        <w:t xml:space="preserve">, engineering </w:t>
      </w:r>
      <w:r w:rsidRPr="005B5164">
        <w:rPr>
          <w:sz w:val="20"/>
          <w:szCs w:val="20"/>
        </w:rPr>
        <w:fldChar w:fldCharType="begin"/>
      </w:r>
      <w:r w:rsidRPr="005B5164">
        <w:rPr>
          <w:sz w:val="20"/>
          <w:szCs w:val="20"/>
        </w:rPr>
        <w:instrText xml:space="preserve"> ADDIN EN.CITE &lt;EndNote&gt;&lt;Cite&gt;&lt;Author&gt;Maier&lt;/Author&gt;&lt;Year&gt;2001&lt;/Year&gt;&lt;RecNum&gt;2815&lt;/RecNum&gt;&lt;DisplayText&gt;(Maier &amp;amp; Fadel, 2001)&lt;/DisplayText&gt;&lt;record&gt;&lt;rec-number&gt;2815&lt;/rec-number&gt;&lt;foreign-keys&gt;&lt;key app="EN" db-id="zazt0005c02a9aeaxpdv00p7tpexrpww9r0a" timestamp="1658434126"&gt;2815&lt;/key&gt;&lt;/foreign-keys&gt;&lt;ref-type name="Conference Proceedings"&gt;10&lt;/ref-type&gt;&lt;contributors&gt;&lt;authors&gt;&lt;author&gt;Maier, Jonathan RA&lt;/author&gt;&lt;author&gt;Fadel, Georges M&lt;/author&gt;&lt;/authors&gt;&lt;/contributors&gt;&lt;titles&gt;&lt;title&gt;Affordance: the fundamental concept in engineering design&lt;/title&gt;&lt;secondary-title&gt;International Design Engineering Technical Conferences and Computers and Information in Engineering Conference&lt;/secondary-title&gt;&lt;/titles&gt;&lt;pages&gt;177-186&lt;/pages&gt;&lt;volume&gt;80258&lt;/volume&gt;&lt;dates&gt;&lt;year&gt;2001&lt;/year&gt;&lt;/dates&gt;&lt;publisher&gt;American Society of Mechanical Engineers&lt;/publisher&gt;&lt;isbn&gt;0791880257&lt;/isbn&gt;&lt;urls&gt;&lt;/urls&gt;&lt;/record&gt;&lt;/Cite&gt;&lt;/EndNote&gt;</w:instrText>
      </w:r>
      <w:r w:rsidRPr="005B5164">
        <w:rPr>
          <w:sz w:val="20"/>
          <w:szCs w:val="20"/>
        </w:rPr>
        <w:fldChar w:fldCharType="separate"/>
      </w:r>
      <w:r w:rsidRPr="005B5164">
        <w:rPr>
          <w:noProof/>
          <w:sz w:val="20"/>
          <w:szCs w:val="20"/>
        </w:rPr>
        <w:t>(Maier &amp; Fadel, 2001)</w:t>
      </w:r>
      <w:r w:rsidRPr="005B5164">
        <w:rPr>
          <w:sz w:val="20"/>
          <w:szCs w:val="20"/>
        </w:rPr>
        <w:fldChar w:fldCharType="end"/>
      </w:r>
      <w:r w:rsidRPr="005B5164">
        <w:rPr>
          <w:sz w:val="20"/>
          <w:szCs w:val="20"/>
        </w:rPr>
        <w:t xml:space="preserve">, and education </w:t>
      </w:r>
      <w:r w:rsidRPr="005B5164">
        <w:rPr>
          <w:sz w:val="20"/>
          <w:szCs w:val="20"/>
        </w:rPr>
        <w:fldChar w:fldCharType="begin"/>
      </w:r>
      <w:r w:rsidRPr="005B5164">
        <w:rPr>
          <w:sz w:val="20"/>
          <w:szCs w:val="20"/>
        </w:rPr>
        <w:instrText xml:space="preserve"> ADDIN EN.CITE &lt;EndNote&gt;&lt;Cite&gt;&lt;Author&gt;Bower&lt;/Author&gt;&lt;Year&gt;2008&lt;/Year&gt;&lt;RecNum&gt;2927&lt;/RecNum&gt;&lt;DisplayText&gt;(Bower, 2008)&lt;/DisplayText&gt;&lt;record&gt;&lt;rec-number&gt;2927&lt;/rec-number&gt;&lt;foreign-keys&gt;&lt;key app="EN" db-id="zazt0005c02a9aeaxpdv00p7tpexrpww9r0a" timestamp="1664198993"&gt;2927&lt;/key&gt;&lt;/foreign-keys&gt;&lt;ref-type name="Journal Article"&gt;17&lt;/ref-type&gt;&lt;contributors&gt;&lt;authors&gt;&lt;author&gt;Bower, Matt&lt;/author&gt;&lt;/authors&gt;&lt;/contributors&gt;&lt;titles&gt;&lt;title&gt;Affordance analysis–matching learning tasks with learning technologies&lt;/title&gt;&lt;secondary-title&gt;Educational Media International&lt;/secondary-title&gt;&lt;/titles&gt;&lt;periodical&gt;&lt;full-title&gt;Educational Media International&lt;/full-title&gt;&lt;/periodical&gt;&lt;pages&gt;3-15&lt;/pages&gt;&lt;volume&gt;45&lt;/volume&gt;&lt;number&gt;1&lt;/number&gt;&lt;dates&gt;&lt;year&gt;2008&lt;/year&gt;&lt;/dates&gt;&lt;isbn&gt;0952-3987&lt;/isbn&gt;&lt;urls&gt;&lt;/urls&gt;&lt;/record&gt;&lt;/Cite&gt;&lt;/EndNote&gt;</w:instrText>
      </w:r>
      <w:r w:rsidRPr="005B5164">
        <w:rPr>
          <w:sz w:val="20"/>
          <w:szCs w:val="20"/>
        </w:rPr>
        <w:fldChar w:fldCharType="separate"/>
      </w:r>
      <w:r w:rsidRPr="005B5164">
        <w:rPr>
          <w:noProof/>
          <w:sz w:val="20"/>
          <w:szCs w:val="20"/>
        </w:rPr>
        <w:t>(Bower, 2008)</w:t>
      </w:r>
      <w:r w:rsidRPr="005B5164">
        <w:rPr>
          <w:sz w:val="20"/>
          <w:szCs w:val="20"/>
        </w:rPr>
        <w:fldChar w:fldCharType="end"/>
      </w:r>
      <w:r w:rsidRPr="005B5164">
        <w:rPr>
          <w:sz w:val="20"/>
          <w:szCs w:val="20"/>
        </w:rPr>
        <w:t xml:space="preserve">. Although, technology affordance is described in a variety of ways in the literature. </w:t>
      </w:r>
      <w:r w:rsidRPr="005B5164">
        <w:rPr>
          <w:sz w:val="20"/>
          <w:szCs w:val="20"/>
        </w:rPr>
        <w:fldChar w:fldCharType="begin"/>
      </w:r>
      <w:r w:rsidRPr="005B5164">
        <w:rPr>
          <w:sz w:val="20"/>
          <w:szCs w:val="20"/>
        </w:rPr>
        <w:instrText xml:space="preserve"> ADDIN EN.CITE &lt;EndNote&gt;&lt;Cite AuthorYear="1"&gt;&lt;Author&gt;Wijekummar&lt;/Author&gt;&lt;Year&gt;2006&lt;/Year&gt;&lt;RecNum&gt;263&lt;/RecNum&gt;&lt;DisplayText&gt;Wijekummar et al. (2006)&lt;/DisplayText&gt;&lt;record&gt;&lt;rec-number&gt;263&lt;/rec-number&gt;&lt;foreign-keys&gt;&lt;key app="EN" db-id="tfzxppfdwaavsceftwnv9ptn0ddse5v90vea" timestamp="1645433706"&gt;263&lt;/key&gt;&lt;/foreign-keys&gt;&lt;ref-type name="Journal Article"&gt;17&lt;/ref-type&gt;&lt;contributors&gt;&lt;authors&gt;&lt;author&gt;Kay Wijekummar&lt;/author&gt;&lt;author&gt;Bonnie Meyer&lt;/author&gt;&lt;author&gt;Diance Wagoner&lt;/author&gt;&lt;author&gt;Lon Fergusin&lt;/author&gt;&lt;/authors&gt;&lt;/contributors&gt;&lt;titles&gt;&lt;title&gt;Technology affordances: the ‘real story’ in research with K-12 and undergraduate learners&lt;/title&gt;&lt;secondary-title&gt;British Journal of Educational Technology&lt;/secondary-title&gt;&lt;/titles&gt;&lt;periodical&gt;&lt;full-title&gt;British Journal of Educational Technology&lt;/full-title&gt;&lt;/periodical&gt;&lt;pages&gt;18&lt;/pages&gt;&lt;volume&gt;37&lt;/volume&gt;&lt;number&gt;2&lt;/number&gt;&lt;section&gt;191-209&lt;/section&gt;&lt;dates&gt;&lt;year&gt;2006&lt;/year&gt;&lt;/dates&gt;&lt;urls&gt;&lt;/urls&gt;&lt;electronic-resource-num&gt;doi:10.1111/j.1467-8535.2005.00528.x&lt;/electronic-resource-num&gt;&lt;/record&gt;&lt;/Cite&gt;&lt;/EndNote&gt;</w:instrText>
      </w:r>
      <w:r w:rsidRPr="005B5164">
        <w:rPr>
          <w:sz w:val="20"/>
          <w:szCs w:val="20"/>
        </w:rPr>
        <w:fldChar w:fldCharType="separate"/>
      </w:r>
      <w:r w:rsidRPr="005B5164">
        <w:rPr>
          <w:noProof/>
          <w:sz w:val="20"/>
          <w:szCs w:val="20"/>
        </w:rPr>
        <w:t>Wijekummar et al. (2006)</w:t>
      </w:r>
      <w:r w:rsidRPr="005B5164">
        <w:rPr>
          <w:sz w:val="20"/>
          <w:szCs w:val="20"/>
        </w:rPr>
        <w:fldChar w:fldCharType="end"/>
      </w:r>
      <w:r w:rsidRPr="005B5164">
        <w:rPr>
          <w:sz w:val="20"/>
          <w:szCs w:val="20"/>
        </w:rPr>
        <w:t xml:space="preserve"> defined affordances as the interactions between users and tools in ways that influence and guide collaborations </w:t>
      </w:r>
      <w:r w:rsidRPr="005B5164">
        <w:rPr>
          <w:sz w:val="20"/>
          <w:szCs w:val="20"/>
        </w:rPr>
        <w:fldChar w:fldCharType="begin"/>
      </w:r>
      <w:r w:rsidRPr="005B5164">
        <w:rPr>
          <w:sz w:val="20"/>
          <w:szCs w:val="20"/>
        </w:rPr>
        <w:instrText xml:space="preserve"> ADDIN EN.CITE &lt;EndNote&gt;&lt;Cite&gt;&lt;Author&gt;Carter&lt;/Author&gt;&lt;Year&gt;1999&lt;/Year&gt;&lt;RecNum&gt;264&lt;/RecNum&gt;&lt;DisplayText&gt;(Carter et al., 1999)&lt;/DisplayText&gt;&lt;record&gt;&lt;rec-number&gt;264&lt;/rec-number&gt;&lt;foreign-keys&gt;&lt;key app="EN" db-id="tfzxppfdwaavsceftwnv9ptn0ddse5v90vea" timestamp="1645435781"&gt;264&lt;/key&gt;&lt;/foreign-keys&gt;&lt;ref-type name="Journal Article"&gt;17&lt;/ref-type&gt;&lt;contributors&gt;&lt;authors&gt;&lt;author&gt;Glenda Carter&lt;/author&gt;&lt;author&gt;Susan L. Westbrook&lt;/author&gt;&lt;author&gt;Cheryl D. Thompkins&lt;/author&gt;&lt;/authors&gt;&lt;/contributors&gt;&lt;titles&gt;&lt;title&gt;Examining Science Tools as Mediators of Students’ Learning about Circuits&lt;/title&gt;&lt;secondary-title&gt;JOURNAL OF RESEARCH IN SCIENCE TEACHING&lt;/secondary-title&gt;&lt;/titles&gt;&lt;periodical&gt;&lt;full-title&gt;JOURNAL OF RESEARCH IN SCIENCE TEACHING&lt;/full-title&gt;&lt;/periodical&gt;&lt;pages&gt;17&lt;/pages&gt;&lt;volume&gt;36&lt;/volume&gt;&lt;number&gt;1&lt;/number&gt;&lt;section&gt;89-105&lt;/section&gt;&lt;dates&gt;&lt;year&gt;1999&lt;/year&gt;&lt;/dates&gt;&lt;urls&gt;&lt;related-urls&gt;&lt;url&gt;https://onlinelibrary.wiley.com/doi/abs/10.1002/%28SICI%291098-2736%28199901%2936%3A1%3C89%3A%3AAID-TEA6%3E3.0.CO%3B2-7&lt;/url&gt;&lt;/related-urls&gt;&lt;/urls&gt;&lt;/record&gt;&lt;/Cite&gt;&lt;/EndNote&gt;</w:instrText>
      </w:r>
      <w:r w:rsidRPr="005B5164">
        <w:rPr>
          <w:sz w:val="20"/>
          <w:szCs w:val="20"/>
        </w:rPr>
        <w:fldChar w:fldCharType="separate"/>
      </w:r>
      <w:r w:rsidRPr="005B5164">
        <w:rPr>
          <w:noProof/>
          <w:sz w:val="20"/>
          <w:szCs w:val="20"/>
        </w:rPr>
        <w:t>(Carter et al., 1999)</w:t>
      </w:r>
      <w:r w:rsidRPr="005B5164">
        <w:rPr>
          <w:sz w:val="20"/>
          <w:szCs w:val="20"/>
        </w:rPr>
        <w:fldChar w:fldCharType="end"/>
      </w:r>
      <w:r w:rsidRPr="005B5164">
        <w:rPr>
          <w:sz w:val="20"/>
          <w:szCs w:val="20"/>
        </w:rPr>
        <w:t xml:space="preserve">. </w:t>
      </w:r>
      <w:r w:rsidRPr="005B5164">
        <w:rPr>
          <w:sz w:val="20"/>
          <w:szCs w:val="20"/>
        </w:rPr>
        <w:fldChar w:fldCharType="begin"/>
      </w:r>
      <w:r w:rsidRPr="005B5164">
        <w:rPr>
          <w:sz w:val="20"/>
          <w:szCs w:val="20"/>
        </w:rPr>
        <w:instrText xml:space="preserve"> ADDIN EN.CITE &lt;EndNote&gt;&lt;Cite AuthorYear="1"&gt;&lt;Author&gt;Gaver&lt;/Author&gt;&lt;Year&gt;1991&lt;/Year&gt;&lt;RecNum&gt;265&lt;/RecNum&gt;&lt;DisplayText&gt;Gaver (1991)&lt;/DisplayText&gt;&lt;record&gt;&lt;rec-number&gt;265&lt;/rec-number&gt;&lt;foreign-keys&gt;&lt;key app="EN" db-id="tfzxppfdwaavsceftwnv9ptn0ddse5v90vea" timestamp="1645438212"&gt;265&lt;/key&gt;&lt;/foreign-keys&gt;&lt;ref-type name="Journal Article"&gt;17&lt;/ref-type&gt;&lt;contributors&gt;&lt;authors&gt;&lt;author&gt;William W. Gaver&lt;/author&gt;&lt;/authors&gt;&lt;/contributors&gt;&lt;titles&gt;&lt;title&gt;Technology Affordances&lt;/title&gt;&lt;/titles&gt;&lt;pages&gt;6&lt;/pages&gt;&lt;dates&gt;&lt;year&gt;1991&lt;/year&gt;&lt;/dates&gt;&lt;urls&gt;&lt;/urls&gt;&lt;/record&gt;&lt;/Cite&gt;&lt;/EndNote&gt;</w:instrText>
      </w:r>
      <w:r w:rsidRPr="005B5164">
        <w:rPr>
          <w:sz w:val="20"/>
          <w:szCs w:val="20"/>
        </w:rPr>
        <w:fldChar w:fldCharType="separate"/>
      </w:r>
      <w:r w:rsidRPr="005B5164">
        <w:rPr>
          <w:noProof/>
          <w:sz w:val="20"/>
          <w:szCs w:val="20"/>
        </w:rPr>
        <w:t>Gaver (1991)</w:t>
      </w:r>
      <w:r w:rsidRPr="005B5164">
        <w:rPr>
          <w:sz w:val="20"/>
          <w:szCs w:val="20"/>
        </w:rPr>
        <w:fldChar w:fldCharType="end"/>
      </w:r>
      <w:r w:rsidRPr="005B5164">
        <w:rPr>
          <w:sz w:val="20"/>
          <w:szCs w:val="20"/>
        </w:rPr>
        <w:t xml:space="preserve"> explored affordances as the strengths and weaknesses of technology that could be offered to users. </w:t>
      </w:r>
      <w:r w:rsidRPr="005B5164">
        <w:rPr>
          <w:sz w:val="20"/>
          <w:szCs w:val="20"/>
        </w:rPr>
        <w:fldChar w:fldCharType="begin"/>
      </w:r>
      <w:r w:rsidRPr="005B5164">
        <w:rPr>
          <w:sz w:val="20"/>
          <w:szCs w:val="20"/>
        </w:rPr>
        <w:instrText xml:space="preserve"> ADDIN EN.CITE &lt;EndNote&gt;&lt;Cite AuthorYear="1"&gt;&lt;Author&gt;Graves&lt;/Author&gt;&lt;Year&gt;2007&lt;/Year&gt;&lt;RecNum&gt;267&lt;/RecNum&gt;&lt;DisplayText&gt;Graves (2007)&lt;/DisplayText&gt;&lt;record&gt;&lt;rec-number&gt;267&lt;/rec-number&gt;&lt;foreign-keys&gt;&lt;key app="EN" db-id="tfzxppfdwaavsceftwnv9ptn0ddse5v90vea" timestamp="1645439716"&gt;267&lt;/key&gt;&lt;/foreign-keys&gt;&lt;ref-type name="Journal Article"&gt;17&lt;/ref-type&gt;&lt;contributors&gt;&lt;authors&gt;&lt;author&gt;Lucas Graves&lt;/author&gt;&lt;/authors&gt;&lt;/contributors&gt;&lt;titles&gt;&lt;title&gt;The Affordances of Blogging: A Case Study in Culture and Technological Effects&lt;/title&gt;&lt;secondary-title&gt;Communication Inquiry&lt;/secondary-title&gt;&lt;/titles&gt;&lt;periodical&gt;&lt;full-title&gt;Communication Inquiry&lt;/full-title&gt;&lt;/periodical&gt;&lt;pages&gt;16&lt;/pages&gt;&lt;volume&gt;31&lt;/volume&gt;&lt;number&gt;4&lt;/number&gt;&lt;section&gt;331-346&lt;/section&gt;&lt;dates&gt;&lt;year&gt;2007&lt;/year&gt;&lt;/dates&gt;&lt;urls&gt;&lt;related-urls&gt;&lt;url&gt;http://online.sagepub.com&lt;/url&gt;&lt;/related-urls&gt;&lt;/urls&gt;&lt;/record&gt;&lt;/Cite&gt;&lt;/EndNote&gt;</w:instrText>
      </w:r>
      <w:r w:rsidRPr="005B5164">
        <w:rPr>
          <w:sz w:val="20"/>
          <w:szCs w:val="20"/>
        </w:rPr>
        <w:fldChar w:fldCharType="separate"/>
      </w:r>
      <w:r w:rsidRPr="005B5164">
        <w:rPr>
          <w:noProof/>
          <w:sz w:val="20"/>
          <w:szCs w:val="20"/>
        </w:rPr>
        <w:t>Graves (2007)</w:t>
      </w:r>
      <w:r w:rsidRPr="005B5164">
        <w:rPr>
          <w:sz w:val="20"/>
          <w:szCs w:val="20"/>
        </w:rPr>
        <w:fldChar w:fldCharType="end"/>
      </w:r>
      <w:r w:rsidRPr="005B5164">
        <w:rPr>
          <w:color w:val="0080AE"/>
          <w:sz w:val="20"/>
          <w:szCs w:val="20"/>
        </w:rPr>
        <w:t xml:space="preserve"> </w:t>
      </w:r>
      <w:r w:rsidRPr="005B5164">
        <w:rPr>
          <w:sz w:val="20"/>
          <w:szCs w:val="20"/>
        </w:rPr>
        <w:t xml:space="preserve">looked at technological affordances to bridge the gap between determinist and social constructivist approaches. That description is different from that of </w:t>
      </w:r>
      <w:r w:rsidRPr="005B5164">
        <w:rPr>
          <w:sz w:val="20"/>
          <w:szCs w:val="20"/>
        </w:rPr>
        <w:fldChar w:fldCharType="begin"/>
      </w:r>
      <w:r w:rsidRPr="005B5164">
        <w:rPr>
          <w:sz w:val="20"/>
          <w:szCs w:val="20"/>
        </w:rPr>
        <w:instrText xml:space="preserve"> ADDIN EN.CITE &lt;EndNote&gt;&lt;Cite AuthorYear="1"&gt;&lt;Author&gt;Mao&lt;/Author&gt;&lt;Year&gt;2014&lt;/Year&gt;&lt;RecNum&gt;340&lt;/RecNum&gt;&lt;DisplayText&gt;Mao (2014)&lt;/DisplayText&gt;&lt;record&gt;&lt;rec-number&gt;340&lt;/rec-number&gt;&lt;foreign-keys&gt;&lt;key app="EN" db-id="zazt0005c02a9aeaxpdv00p7tpexrpww9r0a" timestamp="1650313335"&gt;340&lt;/key&gt;&lt;/foreign-keys&gt;&lt;ref-type name="Journal Article"&gt;17&lt;/ref-type&gt;&lt;contributors&gt;&lt;authors&gt;&lt;author&gt;Mao, Jin&lt;/author&gt;&lt;/authors&gt;&lt;/contributors&gt;&lt;titles&gt;&lt;title&gt;Social media for learning: A mixed methods study on high school students’ technology affordances and perspectives&lt;/title&gt;&lt;secondary-title&gt;Computers in Human Behavior&lt;/secondary-title&gt;&lt;/titles&gt;&lt;periodical&gt;&lt;full-title&gt;Computers in Human Behavior&lt;/full-title&gt;&lt;/periodical&gt;&lt;pages&gt;213-223&lt;/pages&gt;&lt;volume&gt;33&lt;/volume&gt;&lt;dates&gt;&lt;year&gt;2014&lt;/year&gt;&lt;/dates&gt;&lt;isbn&gt;0747-5632&lt;/isbn&gt;&lt;urls&gt;&lt;/urls&gt;&lt;/record&gt;&lt;/Cite&gt;&lt;/EndNote&gt;</w:instrText>
      </w:r>
      <w:r w:rsidRPr="005B5164">
        <w:rPr>
          <w:sz w:val="20"/>
          <w:szCs w:val="20"/>
        </w:rPr>
        <w:fldChar w:fldCharType="separate"/>
      </w:r>
      <w:r w:rsidRPr="005B5164">
        <w:rPr>
          <w:noProof/>
          <w:sz w:val="20"/>
          <w:szCs w:val="20"/>
        </w:rPr>
        <w:t>Mao (2014)</w:t>
      </w:r>
      <w:r w:rsidRPr="005B5164">
        <w:rPr>
          <w:sz w:val="20"/>
          <w:szCs w:val="20"/>
        </w:rPr>
        <w:fldChar w:fldCharType="end"/>
      </w:r>
      <w:r w:rsidRPr="005B5164">
        <w:rPr>
          <w:sz w:val="20"/>
          <w:szCs w:val="20"/>
        </w:rPr>
        <w:t xml:space="preserve">, who described technological affordances as the technological features or functions that extend learning and perceptual capabilities, which might be economic, social, cognitive, or affective. In this context, therefore, affordance is described as the action possibilities that an object gives to user, given the competency, skills, or expertise of the user. Affordance thus emerges from the interaction of technology and user characteristics </w:t>
      </w:r>
      <w:r w:rsidRPr="005B5164">
        <w:rPr>
          <w:sz w:val="20"/>
          <w:szCs w:val="20"/>
        </w:rPr>
        <w:fldChar w:fldCharType="begin"/>
      </w:r>
      <w:r w:rsidRPr="005B5164">
        <w:rPr>
          <w:sz w:val="20"/>
          <w:szCs w:val="20"/>
        </w:rPr>
        <w:instrText xml:space="preserve"> ADDIN EN.CITE &lt;EndNote&gt;&lt;Cite&gt;&lt;Author&gt;Bobsin&lt;/Author&gt;&lt;Year&gt;2019&lt;/Year&gt;&lt;RecNum&gt;295&lt;/RecNum&gt;&lt;DisplayText&gt;(Bobsin et al., 2019)&lt;/DisplayText&gt;&lt;record&gt;&lt;rec-number&gt;295&lt;/rec-number&gt;&lt;foreign-keys&gt;&lt;key app="EN" db-id="zazt0005c02a9aeaxpdv00p7tpexrpww9r0a" timestamp="1648500252"&gt;295&lt;/key&gt;&lt;/foreign-keys&gt;&lt;ref-type name="Journal Article"&gt;17&lt;/ref-type&gt;&lt;contributors&gt;&lt;authors&gt;&lt;author&gt;Bobsin, Debora&lt;/author&gt;&lt;author&gt;Petrini, Maira&lt;/author&gt;&lt;author&gt;Pozzebon, Marlei&lt;/author&gt;&lt;/authors&gt;&lt;/contributors&gt;&lt;titles&gt;&lt;title&gt;The value of technology affordances to improve the management of nonprofit organizations&lt;/title&gt;&lt;secondary-title&gt;RAUSP Management Journal&lt;/secondary-title&gt;&lt;/titles&gt;&lt;periodical&gt;&lt;full-title&gt;RAUSP Management Journal&lt;/full-title&gt;&lt;/periodical&gt;&lt;pages&gt;14-37&lt;/pages&gt;&lt;volume&gt;54&lt;/volume&gt;&lt;dates&gt;&lt;year&gt;2019&lt;/year&gt;&lt;/dates&gt;&lt;isbn&gt;2531-0488&lt;/isbn&gt;&lt;urls&gt;&lt;/urls&gt;&lt;/record&gt;&lt;/Cite&gt;&lt;/EndNote&gt;</w:instrText>
      </w:r>
      <w:r w:rsidRPr="005B5164">
        <w:rPr>
          <w:sz w:val="20"/>
          <w:szCs w:val="20"/>
        </w:rPr>
        <w:fldChar w:fldCharType="separate"/>
      </w:r>
      <w:r w:rsidRPr="005B5164">
        <w:rPr>
          <w:noProof/>
          <w:sz w:val="20"/>
          <w:szCs w:val="20"/>
        </w:rPr>
        <w:t>(Bobsin et al., 2019)</w:t>
      </w:r>
      <w:r w:rsidRPr="005B5164">
        <w:rPr>
          <w:sz w:val="20"/>
          <w:szCs w:val="20"/>
        </w:rPr>
        <w:fldChar w:fldCharType="end"/>
      </w:r>
      <w:r w:rsidRPr="005B5164">
        <w:rPr>
          <w:sz w:val="20"/>
          <w:szCs w:val="20"/>
        </w:rPr>
        <w:t xml:space="preserve">. However, affordances are not always indefinable a priori, although they are easily observable when the technology application context is understood. Technology affordances influence students’ interactions with technology and how they learn a subject using technology </w:t>
      </w:r>
      <w:r w:rsidRPr="005B5164">
        <w:rPr>
          <w:sz w:val="20"/>
          <w:szCs w:val="20"/>
        </w:rPr>
        <w:fldChar w:fldCharType="begin"/>
      </w:r>
      <w:r w:rsidRPr="005B5164">
        <w:rPr>
          <w:sz w:val="20"/>
          <w:szCs w:val="20"/>
        </w:rPr>
        <w:instrText xml:space="preserve"> ADDIN EN.CITE &lt;EndNote&gt;&lt;Cite&gt;&lt;Author&gt;Burlamaqui&lt;/Author&gt;&lt;Year&gt;2017&lt;/Year&gt;&lt;RecNum&gt;2805&lt;/RecNum&gt;&lt;DisplayText&gt;(Burlamaqui &amp;amp; Dong, 2017)&lt;/DisplayText&gt;&lt;record&gt;&lt;rec-number&gt;2805&lt;/rec-number&gt;&lt;foreign-keys&gt;&lt;key app="EN" db-id="zazt0005c02a9aeaxpdv00p7tpexrpww9r0a" timestamp="1658213493"&gt;2805&lt;/key&gt;&lt;/foreign-keys&gt;&lt;ref-type name="Conference Proceedings"&gt;10&lt;/ref-type&gt;&lt;contributors&gt;&lt;authors&gt;&lt;author&gt;Burlamaqui, Leonardo&lt;/author&gt;&lt;author&gt;Dong, Andy&lt;/author&gt;&lt;/authors&gt;&lt;/contributors&gt;&lt;titles&gt;&lt;title&gt;Eye gaze experiment into the recognition of intended affordances&lt;/title&gt;&lt;secondary-title&gt;International Design Engineering Technical Conferences and Computers and Information in Engineering Conference&lt;/secondary-title&gt;&lt;/titles&gt;&lt;pages&gt;V007T06A026&lt;/pages&gt;&lt;volume&gt;58219&lt;/volume&gt;&lt;dates&gt;&lt;year&gt;2017&lt;/year&gt;&lt;/dates&gt;&lt;publisher&gt;American Society of Mechanical Engineers&lt;/publisher&gt;&lt;isbn&gt;0791858219&lt;/isbn&gt;&lt;urls&gt;&lt;/urls&gt;&lt;/record&gt;&lt;/Cite&gt;&lt;/EndNote&gt;</w:instrText>
      </w:r>
      <w:r w:rsidRPr="005B5164">
        <w:rPr>
          <w:sz w:val="20"/>
          <w:szCs w:val="20"/>
        </w:rPr>
        <w:fldChar w:fldCharType="separate"/>
      </w:r>
      <w:r w:rsidRPr="005B5164">
        <w:rPr>
          <w:noProof/>
          <w:sz w:val="20"/>
          <w:szCs w:val="20"/>
        </w:rPr>
        <w:t>(Burlamaqui &amp; Dong, 2017)</w:t>
      </w:r>
      <w:r w:rsidRPr="005B5164">
        <w:rPr>
          <w:sz w:val="20"/>
          <w:szCs w:val="20"/>
        </w:rPr>
        <w:fldChar w:fldCharType="end"/>
      </w:r>
      <w:r w:rsidRPr="005B5164">
        <w:rPr>
          <w:sz w:val="20"/>
          <w:szCs w:val="20"/>
        </w:rPr>
        <w:t xml:space="preserve">. Being rooted in the action potential offered by objects (i.e., technology) </w:t>
      </w:r>
      <w:r w:rsidRPr="005B5164">
        <w:rPr>
          <w:sz w:val="20"/>
          <w:szCs w:val="20"/>
        </w:rPr>
        <w:fldChar w:fldCharType="begin"/>
      </w:r>
      <w:r w:rsidRPr="005B5164">
        <w:rPr>
          <w:sz w:val="20"/>
          <w:szCs w:val="20"/>
        </w:rPr>
        <w:instrText xml:space="preserve"> ADDIN EN.CITE &lt;EndNote&gt;&lt;Cite&gt;&lt;Author&gt;Leonardi&lt;/Author&gt;&lt;Year&gt;2013&lt;/Year&gt;&lt;RecNum&gt;7&lt;/RecNum&gt;&lt;DisplayText&gt;(Paul M Leonardi, 2013; Majchrzak &amp;amp; Markus, 2012)&lt;/DisplayText&gt;&lt;record&gt;&lt;rec-number&gt;7&lt;/rec-number&gt;&lt;foreign-keys&gt;&lt;key app="EN" db-id="zazt0005c02a9aeaxpdv00p7tpexrpww9r0a" timestamp="1648324648"&gt;7&lt;/key&gt;&lt;/foreign-keys&gt;&lt;ref-type name="Journal Article"&gt;17&lt;/ref-type&gt;&lt;contributors&gt;&lt;authors&gt;&lt;author&gt;Leonardi, Paul M&lt;/author&gt;&lt;/authors&gt;&lt;/contributors&gt;&lt;titles&gt;&lt;title&gt;When does technology use enable network change in organizations? A comparative study of feature use and shared affordances&lt;/title&gt;&lt;secondary-title&gt;MIS quarterly&lt;/secondary-title&gt;&lt;/titles&gt;&lt;periodical&gt;&lt;full-title&gt;MIS Quarterly&lt;/full-title&gt;&lt;/periodical&gt;&lt;pages&gt;749-775&lt;/pages&gt;&lt;dates&gt;&lt;year&gt;2013&lt;/year&gt;&lt;/dates&gt;&lt;isbn&gt;0276-7783&lt;/isbn&gt;&lt;urls&gt;&lt;/urls&gt;&lt;/record&gt;&lt;/Cite&gt;&lt;Cite&gt;&lt;Author&gt;Majchrzak&lt;/Author&gt;&lt;Year&gt;2012&lt;/Year&gt;&lt;RecNum&gt;2683&lt;/RecNum&gt;&lt;record&gt;&lt;rec-number&gt;2683&lt;/rec-number&gt;&lt;foreign-keys&gt;&lt;key app="EN" db-id="zazt0005c02a9aeaxpdv00p7tpexrpww9r0a" timestamp="1653729065"&gt;2683&lt;/key&gt;&lt;/foreign-keys&gt;&lt;ref-type name="Journal Article"&gt;17&lt;/ref-type&gt;&lt;contributors&gt;&lt;authors&gt;&lt;author&gt;Majchrzak, Ann&lt;/author&gt;&lt;author&gt;Markus, M Lynne&lt;/author&gt;&lt;/authors&gt;&lt;/contributors&gt;&lt;titles&gt;&lt;title&gt;Technology affordances and constraints in management information systems (MIS)&lt;/title&gt;&lt;secondary-title&gt;Encyclopedia of Management Theory,(Ed: E. Kessler), Sage Publications, Forthcoming&lt;/secondary-title&gt;&lt;/titles&gt;&lt;periodical&gt;&lt;full-title&gt;Encyclopedia of Management Theory,(Ed: E. Kessler), Sage Publications, Forthcoming&lt;/full-title&gt;&lt;/periodical&gt;&lt;dates&gt;&lt;year&gt;2012&lt;/year&gt;&lt;/dates&gt;&lt;urls&gt;&lt;/urls&gt;&lt;/record&gt;&lt;/Cite&gt;&lt;/EndNote&gt;</w:instrText>
      </w:r>
      <w:r w:rsidRPr="005B5164">
        <w:rPr>
          <w:sz w:val="20"/>
          <w:szCs w:val="20"/>
        </w:rPr>
        <w:fldChar w:fldCharType="separate"/>
      </w:r>
      <w:r w:rsidRPr="005B5164">
        <w:rPr>
          <w:noProof/>
          <w:sz w:val="20"/>
          <w:szCs w:val="20"/>
        </w:rPr>
        <w:t>(Paul M Leonardi, 2013; Majchrzak &amp; Markus, 2012)</w:t>
      </w:r>
      <w:r w:rsidRPr="005B5164">
        <w:rPr>
          <w:sz w:val="20"/>
          <w:szCs w:val="20"/>
        </w:rPr>
        <w:fldChar w:fldCharType="end"/>
      </w:r>
      <w:r w:rsidRPr="005B5164">
        <w:rPr>
          <w:sz w:val="20"/>
          <w:szCs w:val="20"/>
        </w:rPr>
        <w:t>, it may still be actualized or even perceived regardless of the context.</w:t>
      </w:r>
    </w:p>
    <w:p w14:paraId="5F0117DE" w14:textId="14BDFD25" w:rsidR="00B70B8D" w:rsidRPr="005B5164" w:rsidRDefault="00397AB8" w:rsidP="002808E4">
      <w:pPr>
        <w:spacing w:after="0" w:line="240" w:lineRule="auto"/>
        <w:ind w:leftChars="0" w:left="0" w:firstLineChars="0" w:firstLine="270"/>
        <w:jc w:val="both"/>
        <w:rPr>
          <w:rFonts w:ascii="Times New Roman" w:hAnsi="Times New Roman" w:cs="Times New Roman"/>
          <w:sz w:val="20"/>
          <w:szCs w:val="20"/>
        </w:rPr>
      </w:pPr>
      <w:r w:rsidRPr="005B5164">
        <w:rPr>
          <w:rFonts w:ascii="Times New Roman" w:hAnsi="Times New Roman" w:cs="Times New Roman"/>
          <w:sz w:val="20"/>
          <w:szCs w:val="20"/>
        </w:rPr>
        <w:t xml:space="preserve">Digital technology has become increasingly integrated into classrooms to support and enrich student learning,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w:instrTex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EN.CITE.DATA </w:instrTex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(Dillenbourg &amp; Hong, 2008; Lahiri &amp; Moseley, 2015; Zaka, 2012)</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particularly in fostering self-directed and collaborative learning experiences. This approach aligns with the current trend in educational planning to prioritize self-directed learning with the aid of technology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&lt;EndNote&gt;&lt;Cite&gt;&lt;Author&gt;Collins&lt;/Author&gt;&lt;Year&gt;2010&lt;/Year&gt;&lt;RecNum&gt;2809&lt;/RecNum&gt;&lt;DisplayText&gt;(Collins &amp;amp; Halverson, 2010; Jonassen &amp;amp; Hung, 2008)&lt;/DisplayText&gt;&lt;record&gt;&lt;rec-number&gt;2809&lt;/rec-number&gt;&lt;foreign-keys&gt;&lt;key app="EN" db-id="zazt0005c02a9aeaxpdv00p7tpexrpww9r0a" timestamp="1658214650"&gt;2809&lt;/key&gt;&lt;/foreign-keys&gt;&lt;ref-type name="Journal Article"&gt;17&lt;/ref-type&gt;&lt;contributors&gt;&lt;authors&gt;&lt;author&gt;Collins, Allan&lt;/author&gt;&lt;author&gt;Halverson, Richard&lt;/author&gt;&lt;/authors&gt;&lt;/contributors&gt;&lt;titles&gt;&lt;title&gt;The second educational revolution: Rethinking education in the age of technology&lt;/title&gt;&lt;secondary-title&gt;Journal of computer assisted learning&lt;/secondary-title&gt;&lt;/titles&gt;&lt;periodical&gt;&lt;full-title&gt;Journal of Computer Assisted Learning&lt;/full-title&gt;&lt;/periodical&gt;&lt;pages&gt;18-27&lt;/pages&gt;&lt;volume&gt;26&lt;/volume&gt;&lt;number&gt;1&lt;/number&gt;&lt;dates&gt;&lt;year&gt;2010&lt;/year&gt;&lt;/dates&gt;&lt;isbn&gt;0266-4909&lt;/isbn&gt;&lt;urls&gt;&lt;/urls&gt;&lt;/record&gt;&lt;/Cite&gt;&lt;Cite&gt;&lt;Author&gt;Jonassen&lt;/Author&gt;&lt;Year&gt;2008&lt;/Year&gt;&lt;RecNum&gt;2810&lt;/RecNum&gt;&lt;record&gt;&lt;rec-number&gt;2810&lt;/rec-number&gt;&lt;foreign-keys&gt;&lt;key app="EN" db-id="zazt0005c02a9aeaxpdv00p7tpexrpww9r0a" timestamp="1658214806"&gt;2810&lt;/key&gt;&lt;/foreign-keys&gt;&lt;ref-type name="Journal Article"&gt;17&lt;/ref-type&gt;&lt;contributors&gt;&lt;authors&gt;&lt;author&gt;Jonassen, David H&lt;/author&gt;&lt;author&gt;Hung, Woei&lt;/author&gt;&lt;/authors&gt;&lt;/contributors&gt;&lt;titles&gt;&lt;title&gt;All problems are not equal: Implications for pbl&lt;/title&gt;&lt;secondary-title&gt;Interdisciplinary Journal of Problem-Based Learning&lt;/secondary-title&gt;&lt;/titles&gt;&lt;periodical&gt;&lt;full-title&gt;Interdisciplinary Journal of Problem-Based Learning&lt;/full-title&gt;&lt;/periodical&gt;&lt;pages&gt;10&lt;/pages&gt;&lt;volume&gt;2&lt;/volume&gt;&lt;number&gt;2&lt;/number&gt;&lt;dates&gt;&lt;year&gt;2008&lt;/year&gt;&lt;/dates&gt;&lt;isbn&gt;1541-5015&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(Collins &amp; Halverson, 2010; Jonassen &amp; Hung, 2008)</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xml:space="preserve">. Teachers are encouraged to leverage digital tools and collaborative methods to facilitate dialogic interactions among students in technology-supported classrooms. These interactions not only enhance knowledge exchange but also empower students to actively engage with course materials and </w:t>
      </w:r>
      <w:r w:rsidR="006C5A7A">
        <w:rPr>
          <w:rFonts w:ascii="Times New Roman" w:hAnsi="Times New Roman" w:cs="Times New Roman"/>
          <w:sz w:val="20"/>
          <w:szCs w:val="20"/>
        </w:rPr>
        <w:t>peers</w:t>
      </w:r>
      <w:r w:rsidRPr="005B5164">
        <w:rPr>
          <w:rFonts w:ascii="Times New Roman" w:hAnsi="Times New Roman" w:cs="Times New Roman"/>
          <w:sz w:val="20"/>
          <w:szCs w:val="20"/>
        </w:rPr>
        <w:t xml:space="preserve">, thereby fostering a supportive and inclusive learning environment. Through digital technology, students can work together seamlessly, communicate effectively, and access resources efficiently, ultimately promoting a more dynamic and interactive educational experience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&lt;EndNote&gt;&lt;Cite&gt;&lt;Author&gt;Maher&lt;/Author&gt;&lt;Year&gt;2012&lt;/Year&gt;&lt;RecNum&gt;3150&lt;/RecNum&gt;&lt;DisplayText&gt;(Maher, 2012)&lt;/DisplayText&gt;&lt;record&gt;&lt;rec-number&gt;3150&lt;/rec-number&gt;&lt;foreign-keys&gt;&lt;key app="EN" db-id="zazt0005c02a9aeaxpdv00p7tpexrpww9r0a" timestamp="1668181868"&gt;3150&lt;/key&gt;&lt;/foreign-keys&gt;&lt;ref-type name="Journal Article"&gt;17&lt;/ref-type&gt;&lt;contributors&gt;&lt;authors&gt;&lt;author&gt;Maher, Damian&lt;/author&gt;&lt;/authors&gt;&lt;/contributors&gt;&lt;titles&gt;&lt;title&gt;Teaching literacy in primary schools using an interactive whole-class technology: facilitating student-to-student whole-class dialogic interactions&lt;/title&gt;&lt;secondary-title&gt;Technology, Pedagogy and Education&lt;/secondary-title&gt;&lt;/titles&gt;&lt;periodical&gt;&lt;full-title&gt;Technology, Pedagogy and Education&lt;/full-title&gt;&lt;/periodical&gt;&lt;pages&gt;137-152&lt;/pages&gt;&lt;volume&gt;21&lt;/volume&gt;&lt;number&gt;1&lt;/number&gt;&lt;dates&gt;&lt;year&gt;2012&lt;/year&gt;&lt;/dates&gt;&lt;isbn&gt;1475-939X&lt;/isbn&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(Maher, 2012)</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Therefore, we state the following proposition:</w:t>
      </w:r>
    </w:p>
    <w:p w14:paraId="47FD8A1F" w14:textId="309C2C3C" w:rsidR="00B70B8D" w:rsidRPr="005B5164" w:rsidRDefault="00397AB8" w:rsidP="005977F2">
      <w:pPr>
        <w:spacing w:after="0" w:line="240" w:lineRule="auto"/>
        <w:ind w:leftChars="0" w:left="0" w:firstLineChars="0" w:firstLine="0"/>
        <w:jc w:val="both"/>
        <w:rPr>
          <w:rFonts w:ascii="Times New Roman" w:hAnsi="Times New Roman" w:cs="Times New Roman"/>
          <w:i/>
          <w:iCs/>
          <w:sz w:val="20"/>
          <w:szCs w:val="20"/>
        </w:rPr>
      </w:pPr>
      <w:r w:rsidRPr="005B5164">
        <w:rPr>
          <w:rFonts w:ascii="Times New Roman" w:hAnsi="Times New Roman" w:cs="Times New Roman"/>
          <w:i/>
          <w:iCs/>
          <w:sz w:val="20"/>
          <w:szCs w:val="20"/>
        </w:rPr>
        <w:lastRenderedPageBreak/>
        <w:t>P1:</w:t>
      </w:r>
      <w:r w:rsidR="00672A3C">
        <w:rPr>
          <w:rFonts w:ascii="Times New Roman" w:hAnsi="Times New Roman" w:cs="Times New Roman"/>
          <w:i/>
          <w:iCs/>
          <w:sz w:val="20"/>
          <w:szCs w:val="20"/>
        </w:rPr>
        <w:tab/>
        <w:t>E</w:t>
      </w:r>
      <w:r w:rsidRPr="005B5164">
        <w:rPr>
          <w:rFonts w:ascii="Times New Roman" w:hAnsi="Times New Roman" w:cs="Times New Roman"/>
          <w:i/>
          <w:iCs/>
          <w:sz w:val="20"/>
          <w:szCs w:val="20"/>
        </w:rPr>
        <w:t>ducational technological affordances will guide to gain epistemological access in sub</w:t>
      </w:r>
      <w:r w:rsidRPr="005B5164">
        <w:rPr>
          <w:rFonts w:ascii="Times New Roman" w:hAnsi="Times New Roman" w:cs="Times New Roman"/>
          <w:i/>
          <w:iCs/>
          <w:sz w:val="20"/>
          <w:szCs w:val="20"/>
        </w:rPr>
        <w:noBreakHyphen/>
        <w:t>Saharan Africa.</w:t>
      </w:r>
    </w:p>
    <w:p w14:paraId="64A8A55F" w14:textId="77777777" w:rsidR="00B70B8D" w:rsidRPr="005B5164" w:rsidRDefault="00397AB8" w:rsidP="005977F2">
      <w:pPr>
        <w:spacing w:after="0" w:line="240" w:lineRule="auto"/>
        <w:ind w:leftChars="0" w:left="0" w:firstLineChars="0" w:firstLine="0"/>
        <w:jc w:val="both"/>
        <w:rPr>
          <w:rFonts w:ascii="Times New Roman" w:hAnsi="Times New Roman" w:cs="Times New Roman"/>
          <w:b/>
          <w:bCs/>
          <w:i/>
          <w:iCs/>
          <w:sz w:val="20"/>
          <w:szCs w:val="20"/>
        </w:rPr>
      </w:pPr>
      <w:r w:rsidRPr="005B5164">
        <w:rPr>
          <w:rFonts w:ascii="Times New Roman" w:hAnsi="Times New Roman" w:cs="Times New Roman"/>
          <w:b/>
          <w:bCs/>
          <w:i/>
          <w:iCs/>
          <w:sz w:val="20"/>
          <w:szCs w:val="20"/>
        </w:rPr>
        <w:t>Theme Two: learning context</w:t>
      </w:r>
    </w:p>
    <w:p w14:paraId="34DD0CBF" w14:textId="77777777" w:rsidR="00B70B8D" w:rsidRPr="005B5164" w:rsidRDefault="00397AB8" w:rsidP="002808E4">
      <w:pPr>
        <w:pStyle w:val="NormalWeb"/>
        <w:spacing w:before="0" w:beforeAutospacing="0" w:after="0" w:afterAutospacing="0"/>
        <w:ind w:firstLine="270"/>
        <w:jc w:val="both"/>
        <w:rPr>
          <w:sz w:val="20"/>
          <w:szCs w:val="20"/>
        </w:rPr>
      </w:pPr>
      <w:r w:rsidRPr="005B5164">
        <w:rPr>
          <w:sz w:val="20"/>
          <w:szCs w:val="20"/>
        </w:rPr>
        <w:t xml:space="preserve">The discussed theme focuses on the impact of digital technology on the learning context, emphasizing its role in enhancing learner autonomy </w:t>
      </w:r>
      <w:r w:rsidRPr="005B5164">
        <w:rPr>
          <w:color w:val="191919"/>
          <w:sz w:val="20"/>
          <w:szCs w:val="20"/>
        </w:rPr>
        <w:fldChar w:fldCharType="begin"/>
      </w:r>
      <w:r w:rsidRPr="005B5164">
        <w:rPr>
          <w:color w:val="191919"/>
          <w:sz w:val="20"/>
          <w:szCs w:val="20"/>
        </w:rPr>
        <w:instrText xml:space="preserve"> ADDIN EN.CITE &lt;EndNote&gt;&lt;Cite&gt;&lt;Author&gt;Al-Ani&lt;/Author&gt;&lt;Year&gt;2013&lt;/Year&gt;&lt;RecNum&gt;342&lt;/RecNum&gt;&lt;DisplayText&gt;(Al-Ani, 2013; Payton &amp;amp; Kvasny, 2016)&lt;/DisplayText&gt;&lt;record&gt;&lt;rec-number&gt;342&lt;/rec-number&gt;&lt;foreign-keys&gt;&lt;key app="EN" db-id="zazt0005c02a9aeaxpdv00p7tpexrpww9r0a" timestamp="1650314504"&gt;342&lt;/key&gt;&lt;/foreign-keys&gt;&lt;ref-type name="Journal Article"&gt;17&lt;/ref-type&gt;&lt;contributors&gt;&lt;authors&gt;&lt;author&gt;Al-Ani, Wajeha Thabit&lt;/author&gt;&lt;/authors&gt;&lt;/contributors&gt;&lt;titles&gt;&lt;title&gt;Blended Learning Approach Using Moodle and Student&amp;apos;s Achievement at Sultan Qaboos University in Oman&lt;/title&gt;&lt;secondary-title&gt;Journal of Education and Learning&lt;/secondary-title&gt;&lt;/titles&gt;&lt;periodical&gt;&lt;full-title&gt;Journal of Education and Learning&lt;/full-title&gt;&lt;/periodical&gt;&lt;pages&gt;96-110&lt;/pages&gt;&lt;volume&gt;2&lt;/volume&gt;&lt;number&gt;3&lt;/number&gt;&lt;dates&gt;&lt;year&gt;2013&lt;/year&gt;&lt;/dates&gt;&lt;isbn&gt;1927-5250&lt;/isbn&gt;&lt;urls&gt;&lt;/urls&gt;&lt;/record&gt;&lt;/Cite&gt;&lt;Cite&gt;&lt;Author&gt;Payton&lt;/Author&gt;&lt;Year&gt;2016&lt;/Year&gt;&lt;RecNum&gt;148&lt;/RecNum&gt;&lt;record&gt;&lt;rec-number&gt;148&lt;/rec-number&gt;&lt;foreign-keys&gt;&lt;key app="EN" db-id="zazt0005c02a9aeaxpdv00p7tpexrpww9r0a" timestamp="1648412650"&gt;148&lt;/key&gt;&lt;/foreign-keys&gt;&lt;ref-type name="Journal Article"&gt;17&lt;/ref-type&gt;&lt;contributors&gt;&lt;authors&gt;&lt;author&gt;Payton, Fay Cobb&lt;/author&gt;&lt;author&gt;Kvasny, Lynette&lt;/author&gt;&lt;/authors&gt;&lt;/contributors&gt;&lt;titles&gt;&lt;title&gt;Online HIV awareness and technology affordance benefits for black female collegians—maybe not: the case of stigma&lt;/title&gt;&lt;secondary-title&gt;Journal of the American Medical Informatics Association&lt;/secondary-title&gt;&lt;/titles&gt;&lt;periodical&gt;&lt;full-title&gt;Journal of the American Medical Informatics Association&lt;/full-title&gt;&lt;/periodical&gt;&lt;pages&gt;1121-1126&lt;/pages&gt;&lt;volume&gt;23&lt;/volume&gt;&lt;number&gt;6&lt;/number&gt;&lt;dates&gt;&lt;year&gt;2016&lt;/year&gt;&lt;/dates&gt;&lt;isbn&gt;1527-974X&lt;/isbn&gt;&lt;urls&gt;&lt;/urls&gt;&lt;/record&gt;&lt;/Cite&gt;&lt;/EndNote&gt;</w:instrText>
      </w:r>
      <w:r w:rsidRPr="005B5164">
        <w:rPr>
          <w:color w:val="191919"/>
          <w:sz w:val="20"/>
          <w:szCs w:val="20"/>
        </w:rPr>
        <w:fldChar w:fldCharType="separate"/>
      </w:r>
      <w:r w:rsidRPr="005B5164">
        <w:rPr>
          <w:noProof/>
          <w:color w:val="191919"/>
          <w:sz w:val="20"/>
          <w:szCs w:val="20"/>
        </w:rPr>
        <w:t>(Al-Ani, 2013; Payton &amp; Kvasny, 2016)</w:t>
      </w:r>
      <w:r w:rsidRPr="005B5164">
        <w:rPr>
          <w:color w:val="191919"/>
          <w:sz w:val="20"/>
          <w:szCs w:val="20"/>
        </w:rPr>
        <w:fldChar w:fldCharType="end"/>
      </w:r>
      <w:r w:rsidRPr="005B5164">
        <w:rPr>
          <w:sz w:val="20"/>
          <w:szCs w:val="20"/>
        </w:rPr>
        <w:t xml:space="preserve">, inclusion, participation, classroom atmosphere, motivation, engagement, and interpersonal relationships </w:t>
      </w:r>
      <w:r w:rsidRPr="005B5164">
        <w:rPr>
          <w:color w:val="191919"/>
          <w:sz w:val="20"/>
          <w:szCs w:val="20"/>
        </w:rPr>
        <w:fldChar w:fldCharType="begin"/>
      </w:r>
      <w:r w:rsidRPr="005B5164">
        <w:rPr>
          <w:color w:val="191919"/>
          <w:sz w:val="20"/>
          <w:szCs w:val="20"/>
        </w:rPr>
        <w:instrText xml:space="preserve"> ADDIN EN.CITE &lt;EndNote&gt;&lt;Cite&gt;&lt;Author&gt;Asamoah&lt;/Author&gt;&lt;Year&gt;2018&lt;/Year&gt;&lt;RecNum&gt;805&lt;/RecNum&gt;&lt;DisplayText&gt;(Al-Ani, 2013; Asamoah &amp;amp; Andoh-Baidoo, 2018)&lt;/DisplayText&gt;&lt;record&gt;&lt;rec-number&gt;805&lt;/rec-number&gt;&lt;foreign-keys&gt;&lt;key app="EN" db-id="zazt0005c02a9aeaxpdv00p7tpexrpww9r0a" timestamp="1652508738"&gt;805&lt;/key&gt;&lt;/foreign-keys&gt;&lt;ref-type name="Journal Article"&gt;17&lt;/ref-type&gt;&lt;contributors&gt;&lt;authors&gt;&lt;author&gt;Asamoah, David&lt;/author&gt;&lt;author&gt;Andoh-Baidoo, Francis Kofi&lt;/author&gt;&lt;/authors&gt;&lt;/contributors&gt;&lt;titles&gt;&lt;title&gt;Antecedents and Outcomes of Extent of ERP Systems Implementation in the Sub-Saharan Africa Context: A Panoptic Perspective&lt;/title&gt;&lt;secondary-title&gt;Communications of the Association for Information Systems&lt;/secondary-title&gt;&lt;/titles&gt;&lt;periodical&gt;&lt;full-title&gt;Communications of the Association for Information Systems&lt;/full-title&gt;&lt;/periodical&gt;&lt;volume&gt;42&lt;/volume&gt;&lt;number&gt;1&lt;/number&gt;&lt;dates&gt;&lt;year&gt;2018&lt;/year&gt;&lt;pub-dates&gt;&lt;date&gt;May 1, 2018&lt;/date&gt;&lt;/pub-dates&gt;&lt;/dates&gt;&lt;urls&gt;&lt;related-urls&gt;&lt;url&gt;https://aisel.aisnet.org/cais/vol42/iss1/22&lt;/url&gt;&lt;/related-urls&gt;&lt;/urls&gt;&lt;/record&gt;&lt;/Cite&gt;&lt;Cite&gt;&lt;Author&gt;Al-Ani&lt;/Author&gt;&lt;Year&gt;2013&lt;/Year&gt;&lt;RecNum&gt;342&lt;/RecNum&gt;&lt;record&gt;&lt;rec-number&gt;342&lt;/rec-number&gt;&lt;foreign-keys&gt;&lt;key app="EN" db-id="zazt0005c02a9aeaxpdv00p7tpexrpww9r0a" timestamp="1650314504"&gt;342&lt;/key&gt;&lt;/foreign-keys&gt;&lt;ref-type name="Journal Article"&gt;17&lt;/ref-type&gt;&lt;contributors&gt;&lt;authors&gt;&lt;author&gt;Al-Ani, Wajeha Thabit&lt;/author&gt;&lt;/authors&gt;&lt;/contributors&gt;&lt;titles&gt;&lt;title&gt;Blended Learning Approach Using Moodle and Student&amp;apos;s Achievement at Sultan Qaboos University in Oman&lt;/title&gt;&lt;secondary-title&gt;Journal of Education and Learning&lt;/secondary-title&gt;&lt;/titles&gt;&lt;periodical&gt;&lt;full-title&gt;Journal of Education and Learning&lt;/full-title&gt;&lt;/periodical&gt;&lt;pages&gt;96-110&lt;/pages&gt;&lt;volume&gt;2&lt;/volume&gt;&lt;number&gt;3&lt;/number&gt;&lt;dates&gt;&lt;year&gt;2013&lt;/year&gt;&lt;/dates&gt;&lt;isbn&gt;1927-5250&lt;/isbn&gt;&lt;urls&gt;&lt;/urls&gt;&lt;/record&gt;&lt;/Cite&gt;&lt;/EndNote&gt;</w:instrText>
      </w:r>
      <w:r w:rsidRPr="005B5164">
        <w:rPr>
          <w:color w:val="191919"/>
          <w:sz w:val="20"/>
          <w:szCs w:val="20"/>
        </w:rPr>
        <w:fldChar w:fldCharType="separate"/>
      </w:r>
      <w:r w:rsidRPr="005B5164">
        <w:rPr>
          <w:noProof/>
          <w:color w:val="191919"/>
          <w:sz w:val="20"/>
          <w:szCs w:val="20"/>
        </w:rPr>
        <w:t>(Al-Ani, 2013; Asamoah &amp; Andoh-Baidoo, 2018)</w:t>
      </w:r>
      <w:r w:rsidRPr="005B5164">
        <w:rPr>
          <w:color w:val="191919"/>
          <w:sz w:val="20"/>
          <w:szCs w:val="20"/>
        </w:rPr>
        <w:fldChar w:fldCharType="end"/>
      </w:r>
      <w:r w:rsidRPr="005B5164">
        <w:rPr>
          <w:sz w:val="20"/>
          <w:szCs w:val="20"/>
        </w:rPr>
        <w:t xml:space="preserve">. Studies show that digital technologies can empower students to take greater ownership of their learning by facilitating cooperative decision-making and self-monitoring of progress </w:t>
      </w:r>
      <w:r w:rsidRPr="005B5164">
        <w:rPr>
          <w:sz w:val="20"/>
          <w:szCs w:val="20"/>
        </w:rPr>
        <w:fldChar w:fldCharType="begin"/>
      </w:r>
      <w:r w:rsidRPr="005B5164">
        <w:rPr>
          <w:sz w:val="20"/>
          <w:szCs w:val="20"/>
        </w:rPr>
        <w:instrText xml:space="preserve"> ADDIN EN.CITE &lt;EndNote&gt;&lt;Cite&gt;&lt;Author&gt;Maher&lt;/Author&gt;&lt;Year&gt;2012&lt;/Year&gt;&lt;RecNum&gt;3150&lt;/RecNum&gt;&lt;DisplayText&gt;(Maher, 2012)&lt;/DisplayText&gt;&lt;record&gt;&lt;rec-number&gt;3150&lt;/rec-number&gt;&lt;foreign-keys&gt;&lt;key app="EN" db-id="zazt0005c02a9aeaxpdv00p7tpexrpww9r0a" timestamp="1668181868"&gt;3150&lt;/key&gt;&lt;/foreign-keys&gt;&lt;ref-type name="Journal Article"&gt;17&lt;/ref-type&gt;&lt;contributors&gt;&lt;authors&gt;&lt;author&gt;Maher, Damian&lt;/author&gt;&lt;/authors&gt;&lt;/contributors&gt;&lt;titles&gt;&lt;title&gt;Teaching literacy in primary schools using an interactive whole-class technology: facilitating student-to-student whole-class dialogic interactions&lt;/title&gt;&lt;secondary-title&gt;Technology, Pedagogy and Education&lt;/secondary-title&gt;&lt;/titles&gt;&lt;periodical&gt;&lt;full-title&gt;Technology, Pedagogy and Education&lt;/full-title&gt;&lt;/periodical&gt;&lt;pages&gt;137-152&lt;/pages&gt;&lt;volume&gt;21&lt;/volume&gt;&lt;number&gt;1&lt;/number&gt;&lt;dates&gt;&lt;year&gt;2012&lt;/year&gt;&lt;/dates&gt;&lt;isbn&gt;1475-939X&lt;/isbn&gt;&lt;urls&gt;&lt;/urls&gt;&lt;/record&gt;&lt;/Cite&gt;&lt;/EndNote&gt;</w:instrText>
      </w:r>
      <w:r w:rsidRPr="005B5164">
        <w:rPr>
          <w:sz w:val="20"/>
          <w:szCs w:val="20"/>
        </w:rPr>
        <w:fldChar w:fldCharType="separate"/>
      </w:r>
      <w:r w:rsidRPr="005B5164">
        <w:rPr>
          <w:noProof/>
          <w:sz w:val="20"/>
          <w:szCs w:val="20"/>
        </w:rPr>
        <w:t>(Maher, 2012)</w:t>
      </w:r>
      <w:r w:rsidRPr="005B5164">
        <w:rPr>
          <w:sz w:val="20"/>
          <w:szCs w:val="20"/>
        </w:rPr>
        <w:fldChar w:fldCharType="end"/>
      </w:r>
      <w:r w:rsidRPr="005B5164">
        <w:rPr>
          <w:sz w:val="20"/>
          <w:szCs w:val="20"/>
        </w:rPr>
        <w:t xml:space="preserve">. Moreover, digital tools encourage learner inclusion and participation through collaborative group interactions, democratic decision-making, and increased intrinsic interest in learning apps </w:t>
      </w:r>
      <w:r w:rsidRPr="005B5164">
        <w:rPr>
          <w:color w:val="252525"/>
          <w:sz w:val="20"/>
          <w:szCs w:val="20"/>
        </w:rPr>
        <w:fldChar w:fldCharType="begin"/>
      </w:r>
      <w:r w:rsidRPr="005B5164">
        <w:rPr>
          <w:color w:val="252525"/>
          <w:sz w:val="20"/>
          <w:szCs w:val="20"/>
        </w:rPr>
        <w:instrText xml:space="preserve"> ADDIN EN.CITE &lt;EndNote&gt;&lt;Cite&gt;&lt;Author&gt;Ilomäki&lt;/Author&gt;&lt;Year&gt;2018&lt;/Year&gt;&lt;RecNum&gt;3156&lt;/RecNum&gt;&lt;DisplayText&gt;(Ilomäki &amp;amp; Lakkala, 2018)&lt;/DisplayText&gt;&lt;record&gt;&lt;rec-number&gt;3156&lt;/rec-number&gt;&lt;foreign-keys&gt;&lt;key app="EN" db-id="zazt0005c02a9aeaxpdv00p7tpexrpww9r0a" timestamp="1668241145"&gt;3156&lt;/key&gt;&lt;/foreign-keys&gt;&lt;ref-type name="Journal Article"&gt;17&lt;/ref-type&gt;&lt;contributors&gt;&lt;authors&gt;&lt;author&gt;Ilomäki, Liisa&lt;/author&gt;&lt;author&gt;Lakkala, Minna&lt;/author&gt;&lt;/authors&gt;&lt;/contributors&gt;&lt;titles&gt;&lt;title&gt;Digital technology and practices for school improvement: innovative digital school model&lt;/title&gt;&lt;secondary-title&gt;Research and practice in technology enhanced learning&lt;/secondary-title&gt;&lt;/titles&gt;&lt;periodical&gt;&lt;full-title&gt;Research and practice in technology enhanced learning&lt;/full-title&gt;&lt;/periodical&gt;&lt;pages&gt;1-32&lt;/pages&gt;&lt;volume&gt;13&lt;/volume&gt;&lt;number&gt;1&lt;/number&gt;&lt;dates&gt;&lt;year&gt;2018&lt;/year&gt;&lt;/dates&gt;&lt;isbn&gt;1793-7078&lt;/isbn&gt;&lt;urls&gt;&lt;/urls&gt;&lt;/record&gt;&lt;/Cite&gt;&lt;/EndNote&gt;</w:instrText>
      </w:r>
      <w:r w:rsidRPr="005B5164">
        <w:rPr>
          <w:color w:val="252525"/>
          <w:sz w:val="20"/>
          <w:szCs w:val="20"/>
        </w:rPr>
        <w:fldChar w:fldCharType="separate"/>
      </w:r>
      <w:r w:rsidRPr="005B5164">
        <w:rPr>
          <w:noProof/>
          <w:color w:val="252525"/>
          <w:sz w:val="20"/>
          <w:szCs w:val="20"/>
        </w:rPr>
        <w:t>(Ilomäki &amp; Lakkala, 2018)</w:t>
      </w:r>
      <w:r w:rsidRPr="005B5164">
        <w:rPr>
          <w:color w:val="252525"/>
          <w:sz w:val="20"/>
          <w:szCs w:val="20"/>
        </w:rPr>
        <w:fldChar w:fldCharType="end"/>
      </w:r>
      <w:r w:rsidRPr="005B5164">
        <w:rPr>
          <w:sz w:val="20"/>
          <w:szCs w:val="20"/>
        </w:rPr>
        <w:t>. Additionally, digital technology contributes to a positive teaching environment by fostering a sense of community, solidarity, and collaboration among students, as well as promoting increased interaction and open questioning by teachers. Furthermore, it enhances interpersonal relationships, particularly between teachers and students, and among students themselves, when the quality of interactions improves. Lastly, digital technology boosts learner motivation and engagement by stimulating curiosity, providing enjoyable learning experiences, and offering relevant and applicable tools.</w:t>
      </w:r>
    </w:p>
    <w:p w14:paraId="1F3ED00F" w14:textId="77777777" w:rsidR="00B70B8D" w:rsidRPr="005B5164" w:rsidRDefault="00397AB8" w:rsidP="005977F2">
      <w:pPr>
        <w:spacing w:after="0" w:line="240" w:lineRule="auto"/>
        <w:ind w:leftChars="0" w:left="0" w:firstLineChars="0" w:firstLine="0"/>
        <w:jc w:val="both"/>
        <w:rPr>
          <w:rFonts w:ascii="Times New Roman" w:hAnsi="Times New Roman" w:cs="Times New Roman"/>
          <w:sz w:val="20"/>
          <w:szCs w:val="20"/>
        </w:rPr>
      </w:pPr>
      <w:r w:rsidRPr="005B5164">
        <w:rPr>
          <w:rFonts w:ascii="Times New Roman" w:hAnsi="Times New Roman" w:cs="Times New Roman"/>
          <w:sz w:val="20"/>
          <w:szCs w:val="20"/>
        </w:rPr>
        <w:t xml:space="preserve">In dialogical classroom interaction for teaching and learning, when digital technology is used to perform certain responsibilities like problem solving, information management, skills acquisition, and collaboration with respect to effectiveness, efficiency, and ethics, competence is very important and it is referred to as a group of skills, knowledge, and attitudes </w:t>
      </w:r>
      <w:r w:rsidRPr="005B5164">
        <w:rPr>
          <w:rFonts w:ascii="Times New Roman" w:hAnsi="Times New Roman" w:cs="Times New Roman"/>
          <w:sz w:val="20"/>
          <w:szCs w:val="20"/>
        </w:rPr>
        <w:fldChar w:fldCharType="begin"/>
      </w:r>
      <w:r w:rsidRPr="005B5164">
        <w:rPr>
          <w:rFonts w:ascii="Times New Roman" w:hAnsi="Times New Roman" w:cs="Times New Roman"/>
          <w:sz w:val="20"/>
          <w:szCs w:val="20"/>
        </w:rPr>
        <w:instrText xml:space="preserve"> ADDIN EN.CITE &lt;EndNote&gt;&lt;Cite&gt;&lt;Author&gt;Ferrari&lt;/Author&gt;&lt;Year&gt;2012&lt;/Year&gt;&lt;RecNum&gt;2820&lt;/RecNum&gt;&lt;DisplayText&gt;(Ferrari, 2012)&lt;/DisplayText&gt;&lt;record&gt;&lt;rec-number&gt;2820&lt;/rec-number&gt;&lt;foreign-keys&gt;&lt;key app="EN" db-id="zazt0005c02a9aeaxpdv00p7tpexrpww9r0a" timestamp="1658438827"&gt;2820&lt;/key&gt;&lt;/foreign-keys&gt;&lt;ref-type name="Journal Article"&gt;17&lt;/ref-type&gt;&lt;contributors&gt;&lt;authors&gt;&lt;author&gt;Ferrari, Anusca&lt;/author&gt;&lt;/authors&gt;&lt;/contributors&gt;&lt;titles&gt;&lt;title&gt;Digital competence in practice: An analysis of frameworks&lt;/title&gt;&lt;secondary-title&gt;Sevilla: JRC IPTS&lt;/secondary-title&gt;&lt;/titles&gt;&lt;periodical&gt;&lt;full-title&gt;Sevilla: JRC IPTS&lt;/full-title&gt;&lt;/periodical&gt;&lt;pages&gt;82116&lt;/pages&gt;&lt;volume&gt;10&lt;/volume&gt;&lt;dates&gt;&lt;year&gt;2012&lt;/year&gt;&lt;/dates&gt;&lt;urls&gt;&lt;/urls&gt;&lt;/record&gt;&lt;/Cite&gt;&lt;/EndNote&gt;</w:instrText>
      </w:r>
      <w:r w:rsidRPr="005B5164">
        <w:rPr>
          <w:rFonts w:ascii="Times New Roman" w:hAnsi="Times New Roman" w:cs="Times New Roman"/>
          <w:sz w:val="20"/>
          <w:szCs w:val="20"/>
        </w:rPr>
        <w:fldChar w:fldCharType="separate"/>
      </w:r>
      <w:r w:rsidRPr="005B5164">
        <w:rPr>
          <w:rFonts w:ascii="Times New Roman" w:hAnsi="Times New Roman" w:cs="Times New Roman"/>
          <w:noProof/>
          <w:sz w:val="20"/>
          <w:szCs w:val="20"/>
        </w:rPr>
        <w:t>(Ferrari, 2012)</w:t>
      </w:r>
      <w:r w:rsidRPr="005B5164">
        <w:rPr>
          <w:rFonts w:ascii="Times New Roman" w:hAnsi="Times New Roman" w:cs="Times New Roman"/>
          <w:sz w:val="20"/>
          <w:szCs w:val="20"/>
        </w:rPr>
        <w:fldChar w:fldCharType="end"/>
      </w:r>
      <w:r w:rsidRPr="005B5164">
        <w:rPr>
          <w:rFonts w:ascii="Times New Roman" w:hAnsi="Times New Roman" w:cs="Times New Roman"/>
          <w:sz w:val="20"/>
          <w:szCs w:val="20"/>
        </w:rPr>
        <w:t>, that can be applied by a group of individuals. Therefore, learning context is critical in providing education to students in the educational context.</w:t>
      </w:r>
    </w:p>
    <w:p w14:paraId="47C08CAA" w14:textId="627350E7" w:rsidR="00B70B8D" w:rsidRPr="005B5164" w:rsidRDefault="00397AB8" w:rsidP="005977F2">
      <w:pPr>
        <w:spacing w:after="0" w:line="240" w:lineRule="auto"/>
        <w:ind w:leftChars="0" w:left="0" w:firstLineChars="0" w:firstLine="0"/>
        <w:jc w:val="both"/>
        <w:rPr>
          <w:rFonts w:ascii="Times New Roman" w:hAnsi="Times New Roman" w:cs="Times New Roman"/>
          <w:i/>
          <w:iCs/>
          <w:sz w:val="20"/>
          <w:szCs w:val="20"/>
        </w:rPr>
      </w:pPr>
      <w:r w:rsidRPr="005B5164">
        <w:rPr>
          <w:rFonts w:ascii="Times New Roman" w:hAnsi="Times New Roman" w:cs="Times New Roman"/>
          <w:i/>
          <w:iCs/>
          <w:sz w:val="20"/>
          <w:szCs w:val="20"/>
        </w:rPr>
        <w:t>P6:</w:t>
      </w:r>
      <w:r w:rsidR="00672A3C">
        <w:rPr>
          <w:rFonts w:ascii="Times New Roman" w:hAnsi="Times New Roman" w:cs="Times New Roman"/>
          <w:i/>
          <w:iCs/>
          <w:sz w:val="20"/>
          <w:szCs w:val="20"/>
        </w:rPr>
        <w:tab/>
      </w:r>
      <w:r w:rsidRPr="005B5164">
        <w:rPr>
          <w:rFonts w:ascii="Times New Roman" w:hAnsi="Times New Roman" w:cs="Times New Roman"/>
          <w:i/>
          <w:iCs/>
          <w:sz w:val="20"/>
          <w:szCs w:val="20"/>
        </w:rPr>
        <w:t>In higher education institutions, learning context will guide sub</w:t>
      </w:r>
      <w:r w:rsidRPr="005B5164">
        <w:rPr>
          <w:rFonts w:ascii="Times New Roman" w:hAnsi="Times New Roman" w:cs="Times New Roman"/>
          <w:i/>
          <w:iCs/>
          <w:sz w:val="20"/>
          <w:szCs w:val="20"/>
        </w:rPr>
        <w:noBreakHyphen/>
        <w:t>Saharan African countries in gaining epistemological access.</w:t>
      </w:r>
    </w:p>
    <w:p w14:paraId="40E13EF5" w14:textId="77777777" w:rsidR="00B70B8D" w:rsidRPr="005B5164" w:rsidRDefault="00397AB8" w:rsidP="005977F2">
      <w:pPr>
        <w:spacing w:after="0" w:line="240" w:lineRule="auto"/>
        <w:ind w:leftChars="0" w:left="0" w:firstLineChars="0" w:firstLine="0"/>
        <w:jc w:val="both"/>
        <w:rPr>
          <w:rFonts w:ascii="Times New Roman" w:hAnsi="Times New Roman" w:cs="Times New Roman"/>
          <w:b/>
          <w:bCs/>
          <w:i/>
          <w:iCs/>
          <w:sz w:val="20"/>
          <w:szCs w:val="20"/>
        </w:rPr>
      </w:pPr>
      <w:r w:rsidRPr="005B5164">
        <w:rPr>
          <w:rFonts w:ascii="Times New Roman" w:hAnsi="Times New Roman" w:cs="Times New Roman"/>
          <w:b/>
          <w:bCs/>
          <w:i/>
          <w:iCs/>
          <w:sz w:val="20"/>
          <w:szCs w:val="20"/>
        </w:rPr>
        <w:t>Theme Three: dialogic activities</w:t>
      </w:r>
    </w:p>
    <w:p w14:paraId="1C3917BF" w14:textId="77777777" w:rsidR="00B70B8D" w:rsidRPr="005B5164" w:rsidRDefault="00397AB8" w:rsidP="002808E4">
      <w:pPr>
        <w:pStyle w:val="NormalWeb"/>
        <w:spacing w:before="0" w:beforeAutospacing="0" w:after="0" w:afterAutospacing="0"/>
        <w:ind w:firstLine="270"/>
        <w:jc w:val="both"/>
        <w:rPr>
          <w:color w:val="252525"/>
          <w:sz w:val="20"/>
          <w:szCs w:val="20"/>
        </w:rPr>
      </w:pPr>
      <w:r w:rsidRPr="005B5164">
        <w:rPr>
          <w:sz w:val="20"/>
          <w:szCs w:val="20"/>
        </w:rPr>
        <w:t>This section addresses four major sub</w:t>
      </w:r>
      <w:r w:rsidRPr="005B5164">
        <w:rPr>
          <w:sz w:val="20"/>
          <w:szCs w:val="20"/>
        </w:rPr>
        <w:noBreakHyphen/>
        <w:t xml:space="preserve">themes related to the ‘dialogic activities’ theme. Studies </w:t>
      </w:r>
      <w:r w:rsidRPr="005B5164">
        <w:rPr>
          <w:sz w:val="20"/>
          <w:szCs w:val="20"/>
        </w:rPr>
        <w:fldChar w:fldCharType="begin"/>
      </w:r>
      <w:r w:rsidRPr="005B5164">
        <w:rPr>
          <w:sz w:val="20"/>
          <w:szCs w:val="20"/>
        </w:rPr>
        <w:instrText xml:space="preserve"> ADDIN EN.CITE </w:instrText>
      </w:r>
      <w:r w:rsidRPr="005B5164">
        <w:rPr>
          <w:sz w:val="20"/>
          <w:szCs w:val="20"/>
        </w:rPr>
        <w:fldChar w:fldCharType="begin"/>
      </w:r>
      <w:r w:rsidRPr="005B5164">
        <w:rPr>
          <w:sz w:val="20"/>
          <w:szCs w:val="20"/>
        </w:rPr>
        <w:instrText xml:space="preserve"> ADDIN EN.CITE.DATA </w:instrText>
      </w:r>
      <w:r w:rsidRPr="005B5164">
        <w:rPr>
          <w:sz w:val="20"/>
          <w:szCs w:val="20"/>
        </w:rPr>
        <w:fldChar w:fldCharType="end"/>
      </w:r>
      <w:r w:rsidRPr="005B5164">
        <w:rPr>
          <w:sz w:val="20"/>
          <w:szCs w:val="20"/>
        </w:rPr>
        <w:fldChar w:fldCharType="separate"/>
      </w:r>
      <w:r w:rsidRPr="005B5164">
        <w:rPr>
          <w:noProof/>
          <w:sz w:val="20"/>
          <w:szCs w:val="20"/>
        </w:rPr>
        <w:t>(Brown &amp; Dillard, 2015; Li et al., 2022; Major &amp; Warwick, 2019; Smeda et al., 2014; Tiven et al., 2018)</w:t>
      </w:r>
      <w:r w:rsidRPr="005B5164">
        <w:rPr>
          <w:sz w:val="20"/>
          <w:szCs w:val="20"/>
        </w:rPr>
        <w:fldChar w:fldCharType="end"/>
      </w:r>
      <w:r w:rsidRPr="005B5164">
        <w:rPr>
          <w:sz w:val="20"/>
          <w:szCs w:val="20"/>
        </w:rPr>
        <w:t xml:space="preserve"> examine how digital technology can improve dialogic engagement by increasing exposure to diverse viewpoints. This includes providing children with frequent opportunities to recognize that their peers hold opposing viewpoints. For example, a study reporting an online asynchronous discussion making alternative views of a science topic more memorable by modeling the process of distinguishing ideas </w:t>
      </w:r>
      <w:r w:rsidRPr="005B5164">
        <w:rPr>
          <w:sz w:val="20"/>
          <w:szCs w:val="20"/>
        </w:rPr>
        <w:fldChar w:fldCharType="begin"/>
      </w:r>
      <w:r w:rsidRPr="005B5164">
        <w:rPr>
          <w:sz w:val="20"/>
          <w:szCs w:val="20"/>
        </w:rPr>
        <w:instrText xml:space="preserve"> ADDIN EN.CITE &lt;EndNote&gt;&lt;Cite&gt;&lt;Author&gt;Place&lt;/Author&gt;&lt;Year&gt;2019&lt;/Year&gt;&lt;RecNum&gt;3174&lt;/RecNum&gt;&lt;DisplayText&gt;(Place, 2019)&lt;/DisplayText&gt;&lt;record&gt;&lt;rec-number&gt;3174&lt;/rec-number&gt;&lt;foreign-keys&gt;&lt;key app="EN" db-id="zazt0005c02a9aeaxpdv00p7tpexrpww9r0a" timestamp="1668246183"&gt;3174&lt;/key&gt;&lt;/foreign-keys&gt;&lt;ref-type name="Journal Article"&gt;17&lt;/ref-type&gt;&lt;contributors&gt;&lt;authors&gt;&lt;author&gt;Place, Katie R&lt;/author&gt;&lt;/authors&gt;&lt;/contributors&gt;&lt;titles&gt;&lt;title&gt;Exploring digital, social and mobile dialogic engagement with low-income publics&lt;/title&gt;&lt;secondary-title&gt;Public Relations Journal&lt;/secondary-title&gt;&lt;/titles&gt;&lt;periodical&gt;&lt;full-title&gt;Public Relations Journal&lt;/full-title&gt;&lt;/periodical&gt;&lt;pages&gt;1-17&lt;/pages&gt;&lt;volume&gt;12&lt;/volume&gt;&lt;number&gt;4&lt;/number&gt;&lt;dates&gt;&lt;year&gt;2019&lt;/year&gt;&lt;/dates&gt;&lt;urls&gt;&lt;/urls&gt;&lt;/record&gt;&lt;/Cite&gt;&lt;/EndNote&gt;</w:instrText>
      </w:r>
      <w:r w:rsidRPr="005B5164">
        <w:rPr>
          <w:sz w:val="20"/>
          <w:szCs w:val="20"/>
        </w:rPr>
        <w:fldChar w:fldCharType="separate"/>
      </w:r>
      <w:r w:rsidRPr="005B5164">
        <w:rPr>
          <w:noProof/>
          <w:sz w:val="20"/>
          <w:szCs w:val="20"/>
        </w:rPr>
        <w:t>(Place, 2019)</w:t>
      </w:r>
      <w:r w:rsidRPr="005B5164">
        <w:rPr>
          <w:sz w:val="20"/>
          <w:szCs w:val="20"/>
        </w:rPr>
        <w:fldChar w:fldCharType="end"/>
      </w:r>
      <w:r w:rsidRPr="005B5164">
        <w:rPr>
          <w:sz w:val="20"/>
          <w:szCs w:val="20"/>
        </w:rPr>
        <w:t>. Furthermore, digital technology such as micro</w:t>
      </w:r>
      <w:r w:rsidRPr="005B5164">
        <w:rPr>
          <w:sz w:val="20"/>
          <w:szCs w:val="20"/>
        </w:rPr>
        <w:noBreakHyphen/>
        <w:t xml:space="preserve">blogging tool can enable students with minimal background knowledge to tap into a pool of other students’ viewpoints, example, readers or ‘followers’ can access and engage with a variety of ‘contributions’ given by others </w:t>
      </w:r>
      <w:r w:rsidRPr="005B5164">
        <w:rPr>
          <w:sz w:val="20"/>
          <w:szCs w:val="20"/>
        </w:rPr>
        <w:fldChar w:fldCharType="begin"/>
      </w:r>
      <w:r w:rsidRPr="005B5164">
        <w:rPr>
          <w:sz w:val="20"/>
          <w:szCs w:val="20"/>
        </w:rPr>
        <w:instrText xml:space="preserve"> ADDIN EN.CITE &lt;EndNote&gt;&lt;Cite&gt;&lt;Author&gt;Singleton&lt;/Author&gt;&lt;Year&gt;2016&lt;/Year&gt;&lt;RecNum&gt;3166&lt;/RecNum&gt;&lt;DisplayText&gt;(Singleton, 2016)&lt;/DisplayText&gt;&lt;record&gt;&lt;rec-number&gt;3166&lt;/rec-number&gt;&lt;foreign-keys&gt;&lt;key app="EN" db-id="zazt0005c02a9aeaxpdv00p7tpexrpww9r0a" timestamp="1668243951"&gt;3166&lt;/key&gt;&lt;/foreign-keys&gt;&lt;ref-type name="Book"&gt;6&lt;/ref-type&gt;&lt;contributors&gt;&lt;authors&gt;&lt;author&gt;Singleton, Sondra Shively&lt;/author&gt;&lt;/authors&gt;&lt;/contributors&gt;&lt;titles&gt;&lt;title&gt;The effects of microblogging on middle school students&amp;apos; engagement and critical thinking&lt;/title&gt;&lt;/titles&gt;&lt;dates&gt;&lt;year&gt;2016&lt;/year&gt;&lt;/dates&gt;&lt;publisher&gt;Liberty University&lt;/publisher&gt;&lt;isbn&gt;1339732351&lt;/isbn&gt;&lt;urls&gt;&lt;/urls&gt;&lt;/record&gt;&lt;/Cite&gt;&lt;/EndNote&gt;</w:instrText>
      </w:r>
      <w:r w:rsidRPr="005B5164">
        <w:rPr>
          <w:sz w:val="20"/>
          <w:szCs w:val="20"/>
        </w:rPr>
        <w:fldChar w:fldCharType="separate"/>
      </w:r>
      <w:r w:rsidRPr="005B5164">
        <w:rPr>
          <w:noProof/>
          <w:sz w:val="20"/>
          <w:szCs w:val="20"/>
        </w:rPr>
        <w:t>(Singleton, 2016)</w:t>
      </w:r>
      <w:r w:rsidRPr="005B5164">
        <w:rPr>
          <w:sz w:val="20"/>
          <w:szCs w:val="20"/>
        </w:rPr>
        <w:fldChar w:fldCharType="end"/>
      </w:r>
      <w:r w:rsidRPr="005B5164">
        <w:rPr>
          <w:sz w:val="20"/>
          <w:szCs w:val="20"/>
        </w:rPr>
        <w:t xml:space="preserve">. </w:t>
      </w:r>
      <w:r w:rsidRPr="005B5164">
        <w:rPr>
          <w:color w:val="252525"/>
          <w:sz w:val="20"/>
          <w:szCs w:val="20"/>
        </w:rPr>
        <w:t xml:space="preserve">Several research studies </w:t>
      </w:r>
      <w:r w:rsidRPr="005B5164">
        <w:rPr>
          <w:color w:val="252525"/>
          <w:sz w:val="20"/>
          <w:szCs w:val="20"/>
        </w:rPr>
        <w:fldChar w:fldCharType="begin"/>
      </w:r>
      <w:r w:rsidRPr="005B5164">
        <w:rPr>
          <w:color w:val="252525"/>
          <w:sz w:val="20"/>
          <w:szCs w:val="20"/>
        </w:rPr>
        <w:instrText xml:space="preserve"> ADDIN EN.CITE </w:instrText>
      </w:r>
      <w:r w:rsidRPr="005B5164">
        <w:rPr>
          <w:color w:val="252525"/>
          <w:sz w:val="20"/>
          <w:szCs w:val="20"/>
        </w:rPr>
        <w:fldChar w:fldCharType="begin"/>
      </w:r>
      <w:r w:rsidRPr="005B5164">
        <w:rPr>
          <w:color w:val="252525"/>
          <w:sz w:val="20"/>
          <w:szCs w:val="20"/>
        </w:rPr>
        <w:instrText xml:space="preserve"> ADDIN EN.CITE.DATA </w:instrText>
      </w:r>
      <w:r w:rsidRPr="005B5164">
        <w:rPr>
          <w:color w:val="252525"/>
          <w:sz w:val="20"/>
          <w:szCs w:val="20"/>
        </w:rPr>
        <w:fldChar w:fldCharType="end"/>
      </w:r>
      <w:r w:rsidRPr="005B5164">
        <w:rPr>
          <w:color w:val="252525"/>
          <w:sz w:val="20"/>
          <w:szCs w:val="20"/>
        </w:rPr>
        <w:fldChar w:fldCharType="separate"/>
      </w:r>
      <w:r w:rsidRPr="005B5164">
        <w:rPr>
          <w:noProof/>
          <w:color w:val="252525"/>
          <w:sz w:val="20"/>
          <w:szCs w:val="20"/>
        </w:rPr>
        <w:t>(Bo et al., 2018; Bower, 2008; Charitonos, 2015; Davidsen &amp; Vanderlinde, 2016)</w:t>
      </w:r>
      <w:r w:rsidRPr="005B5164">
        <w:rPr>
          <w:color w:val="252525"/>
          <w:sz w:val="20"/>
          <w:szCs w:val="20"/>
        </w:rPr>
        <w:fldChar w:fldCharType="end"/>
      </w:r>
      <w:r w:rsidRPr="005B5164">
        <w:rPr>
          <w:color w:val="252525"/>
          <w:sz w:val="20"/>
          <w:szCs w:val="20"/>
        </w:rPr>
        <w:t xml:space="preserve"> address the issue of considering the perspectives of others. For example, prompting students to consider the ‘audience’ and explain, comment, or contribute to an online forum where the process of externalizing ideas pushes students to carry out deeper explanations </w:t>
      </w:r>
      <w:r w:rsidRPr="005B5164">
        <w:rPr>
          <w:color w:val="252525"/>
          <w:sz w:val="20"/>
          <w:szCs w:val="20"/>
        </w:rPr>
        <w:fldChar w:fldCharType="begin"/>
      </w:r>
      <w:r w:rsidRPr="005B5164">
        <w:rPr>
          <w:color w:val="252525"/>
          <w:sz w:val="20"/>
          <w:szCs w:val="20"/>
        </w:rPr>
        <w:instrText xml:space="preserve"> ADDIN EN.CITE &lt;EndNote&gt;&lt;Cite&gt;&lt;Author&gt;Seethamraju&lt;/Author&gt;&lt;Year&gt;2014&lt;/Year&gt;&lt;RecNum&gt;3178&lt;/RecNum&gt;&lt;DisplayText&gt;(Seethamraju, 2014)&lt;/DisplayText&gt;&lt;record&gt;&lt;rec-number&gt;3178&lt;/rec-number&gt;&lt;foreign-keys&gt;&lt;key app="EN" db-id="zazt0005c02a9aeaxpdv00p7tpexrpww9r0a" timestamp="1668246778"&gt;3178&lt;/key&gt;&lt;/foreign-keys&gt;&lt;ref-type name="Journal Article"&gt;17&lt;/ref-type&gt;&lt;contributors&gt;&lt;authors&gt;&lt;author&gt;Seethamraju, Ravi&lt;/author&gt;&lt;/authors&gt;&lt;/contributors&gt;&lt;titles&gt;&lt;title&gt;Effectiveness of using online discussion forum for case study analysis&lt;/title&gt;&lt;secondary-title&gt;Education Research International&lt;/secondary-title&gt;&lt;/titles&gt;&lt;periodical&gt;&lt;full-title&gt;Education Research International&lt;/full-title&gt;&lt;/periodical&gt;&lt;volume&gt;2014&lt;/volume&gt;&lt;dates&gt;&lt;year&gt;2014&lt;/year&gt;&lt;/dates&gt;&lt;isbn&gt;2090-4002&lt;/isbn&gt;&lt;urls&gt;&lt;/urls&gt;&lt;/record&gt;&lt;/Cite&gt;&lt;/EndNote&gt;</w:instrText>
      </w:r>
      <w:r w:rsidRPr="005B5164">
        <w:rPr>
          <w:color w:val="252525"/>
          <w:sz w:val="20"/>
          <w:szCs w:val="20"/>
        </w:rPr>
        <w:fldChar w:fldCharType="separate"/>
      </w:r>
      <w:r w:rsidRPr="005B5164">
        <w:rPr>
          <w:noProof/>
          <w:color w:val="252525"/>
          <w:sz w:val="20"/>
          <w:szCs w:val="20"/>
        </w:rPr>
        <w:t>(Seethamraju, 2014)</w:t>
      </w:r>
      <w:r w:rsidRPr="005B5164">
        <w:rPr>
          <w:color w:val="252525"/>
          <w:sz w:val="20"/>
          <w:szCs w:val="20"/>
        </w:rPr>
        <w:fldChar w:fldCharType="end"/>
      </w:r>
      <w:r w:rsidRPr="005B5164">
        <w:rPr>
          <w:color w:val="252525"/>
          <w:sz w:val="20"/>
          <w:szCs w:val="20"/>
        </w:rPr>
        <w:t>.</w:t>
      </w:r>
    </w:p>
    <w:p w14:paraId="5550AC96" w14:textId="77777777" w:rsidR="00B70B8D" w:rsidRPr="005B5164" w:rsidRDefault="00397AB8" w:rsidP="002808E4">
      <w:pPr>
        <w:pStyle w:val="NormalWeb"/>
        <w:spacing w:before="0" w:beforeAutospacing="0" w:after="0" w:afterAutospacing="0"/>
        <w:ind w:firstLine="270"/>
        <w:jc w:val="both"/>
        <w:rPr>
          <w:color w:val="252525"/>
          <w:sz w:val="20"/>
          <w:szCs w:val="20"/>
        </w:rPr>
      </w:pPr>
      <w:r w:rsidRPr="005B5164">
        <w:rPr>
          <w:sz w:val="20"/>
          <w:szCs w:val="20"/>
        </w:rPr>
        <w:t xml:space="preserve">The section illustrates how digital technology supports knowledge co-construction and metacognitive learning among students. It discusses various methods such as collaborative production of digital artifacts like </w:t>
      </w:r>
      <w:proofErr w:type="spellStart"/>
      <w:r w:rsidRPr="005B5164">
        <w:rPr>
          <w:sz w:val="20"/>
          <w:szCs w:val="20"/>
        </w:rPr>
        <w:t>Talkwall</w:t>
      </w:r>
      <w:proofErr w:type="spellEnd"/>
      <w:r w:rsidRPr="005B5164">
        <w:rPr>
          <w:sz w:val="20"/>
          <w:szCs w:val="20"/>
        </w:rPr>
        <w:t xml:space="preserve">, which fosters shared cognition and collective evaluation. Additionally, it highlights the role of technology-mediated debate and video-stimulated reflective discussions in promoting metacognition. Furthermore, it explores how dialogue, facilitated by digital platforms, aids in understanding peers and provides technical support. Teachers play a crucial role in scaffolding comprehension through dialogue and technology, exemplified by tools like </w:t>
      </w:r>
      <w:proofErr w:type="spellStart"/>
      <w:r w:rsidRPr="005B5164">
        <w:rPr>
          <w:sz w:val="20"/>
          <w:szCs w:val="20"/>
        </w:rPr>
        <w:t>Talkwall</w:t>
      </w:r>
      <w:proofErr w:type="spellEnd"/>
      <w:r w:rsidRPr="005B5164">
        <w:rPr>
          <w:sz w:val="20"/>
          <w:szCs w:val="20"/>
        </w:rPr>
        <w:t xml:space="preserve"> and strategies like establishing ground rules for talk. Overall, this highlights the importance of technology-enhanced dialogue in facilitating learning and collaboration among students.</w:t>
      </w:r>
    </w:p>
    <w:p w14:paraId="12F9EB29" w14:textId="77777777" w:rsidR="00B70B8D" w:rsidRPr="005B5164" w:rsidRDefault="00397AB8" w:rsidP="005977F2">
      <w:pPr>
        <w:spacing w:after="0" w:line="240" w:lineRule="auto"/>
        <w:ind w:leftChars="0" w:left="0" w:firstLineChars="0" w:firstLine="0"/>
        <w:jc w:val="both"/>
        <w:rPr>
          <w:rFonts w:ascii="Times New Roman" w:hAnsi="Times New Roman" w:cs="Times New Roman"/>
          <w:i/>
          <w:iCs/>
          <w:sz w:val="20"/>
          <w:szCs w:val="20"/>
        </w:rPr>
      </w:pPr>
      <w:r w:rsidRPr="005B5164">
        <w:rPr>
          <w:rFonts w:ascii="Times New Roman" w:hAnsi="Times New Roman" w:cs="Times New Roman"/>
          <w:i/>
          <w:iCs/>
          <w:sz w:val="20"/>
          <w:szCs w:val="20"/>
        </w:rPr>
        <w:t>P3:</w:t>
      </w:r>
      <w:r w:rsidRPr="005B5164">
        <w:rPr>
          <w:rFonts w:ascii="Times New Roman" w:hAnsi="Times New Roman" w:cs="Times New Roman"/>
          <w:i/>
          <w:iCs/>
          <w:sz w:val="20"/>
          <w:szCs w:val="20"/>
        </w:rPr>
        <w:tab/>
        <w:t>Synergy between educational technological affordances, learning context, and dialogic activities will be more effective in gaining epistemological access in higher education institutions in sub</w:t>
      </w:r>
      <w:r w:rsidRPr="005B5164">
        <w:rPr>
          <w:rFonts w:ascii="Times New Roman" w:hAnsi="Times New Roman" w:cs="Times New Roman"/>
          <w:i/>
          <w:iCs/>
          <w:sz w:val="20"/>
          <w:szCs w:val="20"/>
        </w:rPr>
        <w:noBreakHyphen/>
        <w:t>Saharan Africa.</w:t>
      </w:r>
    </w:p>
    <w:p w14:paraId="18BF3041" w14:textId="77777777" w:rsidR="00B70B8D" w:rsidRPr="005B5164" w:rsidRDefault="00397AB8" w:rsidP="005977F2">
      <w:pPr>
        <w:pStyle w:val="NormalWeb"/>
        <w:spacing w:before="0" w:beforeAutospacing="0" w:after="0" w:afterAutospacing="0"/>
        <w:jc w:val="both"/>
        <w:rPr>
          <w:sz w:val="20"/>
          <w:szCs w:val="20"/>
        </w:rPr>
      </w:pPr>
      <w:r w:rsidRPr="005B5164">
        <w:rPr>
          <w:b/>
          <w:bCs/>
          <w:sz w:val="20"/>
          <w:szCs w:val="20"/>
        </w:rPr>
        <w:t>RQ2.</w:t>
      </w:r>
      <w:r w:rsidRPr="005B5164">
        <w:rPr>
          <w:sz w:val="20"/>
          <w:szCs w:val="20"/>
        </w:rPr>
        <w:t xml:space="preserve">  </w:t>
      </w:r>
      <w:r w:rsidRPr="005B5164">
        <w:rPr>
          <w:i/>
          <w:iCs/>
          <w:color w:val="000000"/>
          <w:sz w:val="20"/>
          <w:szCs w:val="20"/>
        </w:rPr>
        <w:t>What challenges may implicate gaining epistemological access in a quest to use digital technology for dialogic interaction in higher education institutions in sub</w:t>
      </w:r>
      <w:r w:rsidRPr="005B5164">
        <w:rPr>
          <w:i/>
          <w:iCs/>
          <w:color w:val="000000"/>
          <w:sz w:val="20"/>
          <w:szCs w:val="20"/>
        </w:rPr>
        <w:noBreakHyphen/>
        <w:t>Saharan Africa?</w:t>
      </w:r>
    </w:p>
    <w:p w14:paraId="79AAF577" w14:textId="6121DC08" w:rsidR="00B70B8D" w:rsidRPr="005B5164" w:rsidRDefault="00397AB8" w:rsidP="002808E4">
      <w:pPr>
        <w:pStyle w:val="NormalWeb"/>
        <w:spacing w:before="0" w:beforeAutospacing="0" w:after="0" w:afterAutospacing="0"/>
        <w:ind w:firstLine="360"/>
        <w:jc w:val="both"/>
        <w:rPr>
          <w:color w:val="252525"/>
          <w:sz w:val="20"/>
          <w:szCs w:val="20"/>
        </w:rPr>
      </w:pPr>
      <w:r w:rsidRPr="005B5164">
        <w:rPr>
          <w:color w:val="252525"/>
          <w:sz w:val="20"/>
          <w:szCs w:val="20"/>
        </w:rPr>
        <w:t xml:space="preserve">In this section, we describe the findings of the theme synthesis in response to RQ2. Following a literature synthesis process, two high-level themes were identified, </w:t>
      </w:r>
      <w:r w:rsidR="00672A3C">
        <w:rPr>
          <w:color w:val="252525"/>
          <w:sz w:val="20"/>
          <w:szCs w:val="20"/>
        </w:rPr>
        <w:t xml:space="preserve">which linked to </w:t>
      </w:r>
      <w:r w:rsidRPr="005B5164">
        <w:rPr>
          <w:color w:val="252525"/>
          <w:sz w:val="20"/>
          <w:szCs w:val="20"/>
        </w:rPr>
        <w:t xml:space="preserve">the challenges of using digital technology to help acquire epistemological access from the standpoint of the users, </w:t>
      </w:r>
      <w:proofErr w:type="spellStart"/>
      <w:r w:rsidRPr="005B5164">
        <w:rPr>
          <w:color w:val="252525"/>
          <w:sz w:val="20"/>
          <w:szCs w:val="20"/>
        </w:rPr>
        <w:t>i</w:t>
      </w:r>
      <w:proofErr w:type="spellEnd"/>
      <w:r w:rsidRPr="005B5164">
        <w:rPr>
          <w:color w:val="252525"/>
          <w:sz w:val="20"/>
          <w:szCs w:val="20"/>
        </w:rPr>
        <w:t>. students; ii</w:t>
      </w:r>
      <w:r w:rsidR="00672A3C">
        <w:rPr>
          <w:color w:val="252525"/>
          <w:sz w:val="20"/>
          <w:szCs w:val="20"/>
        </w:rPr>
        <w:t>.</w:t>
      </w:r>
      <w:r w:rsidRPr="005B5164">
        <w:rPr>
          <w:color w:val="252525"/>
          <w:sz w:val="20"/>
          <w:szCs w:val="20"/>
        </w:rPr>
        <w:t xml:space="preserve"> teachers. As with the theme synthesis for RQ1, these are broad categories, and several research studies identify multiple issues. </w:t>
      </w:r>
    </w:p>
    <w:p w14:paraId="2E97DDDA" w14:textId="77777777" w:rsidR="00B70B8D" w:rsidRPr="005B5164" w:rsidRDefault="00397AB8" w:rsidP="005977F2">
      <w:pPr>
        <w:pStyle w:val="NormalWeb"/>
        <w:spacing w:before="0" w:beforeAutospacing="0" w:after="0" w:afterAutospacing="0"/>
        <w:jc w:val="both"/>
        <w:rPr>
          <w:b/>
          <w:bCs/>
          <w:sz w:val="20"/>
          <w:szCs w:val="20"/>
        </w:rPr>
      </w:pPr>
      <w:r w:rsidRPr="005B5164">
        <w:rPr>
          <w:b/>
          <w:bCs/>
          <w:sz w:val="20"/>
          <w:szCs w:val="20"/>
        </w:rPr>
        <w:t>RQ2 theme one – challenges facing students</w:t>
      </w:r>
    </w:p>
    <w:p w14:paraId="1326C559" w14:textId="2BD33CF0" w:rsidR="00B70B8D" w:rsidRPr="005B5164" w:rsidRDefault="00397AB8" w:rsidP="002808E4">
      <w:pPr>
        <w:pStyle w:val="NormalWeb"/>
        <w:spacing w:before="0" w:beforeAutospacing="0" w:after="0" w:afterAutospacing="0"/>
        <w:ind w:firstLine="360"/>
        <w:jc w:val="both"/>
        <w:rPr>
          <w:sz w:val="20"/>
          <w:szCs w:val="20"/>
        </w:rPr>
      </w:pPr>
      <w:bookmarkStart w:id="7" w:name="_Hlk119245227"/>
      <w:r w:rsidRPr="005B5164">
        <w:rPr>
          <w:sz w:val="20"/>
          <w:szCs w:val="20"/>
        </w:rPr>
        <w:t xml:space="preserve">The section discusses challenges that students may encounter when engaging in dialogic interaction with digital technologies. It explores factors such as students’ technical skills, knowledge, and access to technology, impacting their ability to effectively utilize digital tools for learning. Challenges include unfamiliarity with tools, lack of access to necessary devices or applications, spelling errors affecting message comprehension, and limitations in reading and writing abilities hindering participation. Additionally, unequal access to technology and poor engagement rates pose barriers to learner inclusion and </w:t>
      </w:r>
      <w:r w:rsidRPr="005B5164">
        <w:rPr>
          <w:sz w:val="20"/>
          <w:szCs w:val="20"/>
        </w:rPr>
        <w:lastRenderedPageBreak/>
        <w:t xml:space="preserve">engagement. Issues such as varying prior experiences and expectations among students complicate classroom dialogic </w:t>
      </w:r>
      <w:r w:rsidR="00D0322D">
        <w:rPr>
          <w:sz w:val="20"/>
          <w:szCs w:val="20"/>
        </w:rPr>
        <w:t>interactions</w:t>
      </w:r>
      <w:r w:rsidRPr="005B5164">
        <w:rPr>
          <w:sz w:val="20"/>
          <w:szCs w:val="20"/>
        </w:rPr>
        <w:t>. The text emphasizes the importance of active participation and synchronous peer conversations to maintain focused discussions, highlighting the need for addressing these challenges to facilitate effective interaction with digital technologies in education.</w:t>
      </w:r>
    </w:p>
    <w:p w14:paraId="516D8FF1" w14:textId="2CD38810" w:rsidR="00B70B8D" w:rsidRPr="005B5164" w:rsidRDefault="00D0322D" w:rsidP="002808E4">
      <w:pPr>
        <w:pStyle w:val="NormalWeb"/>
        <w:spacing w:before="0" w:beforeAutospacing="0" w:after="0" w:afterAutospacing="0"/>
        <w:ind w:firstLine="360"/>
        <w:jc w:val="both"/>
        <w:rPr>
          <w:sz w:val="20"/>
          <w:szCs w:val="20"/>
        </w:rPr>
      </w:pPr>
      <w:r>
        <w:rPr>
          <w:sz w:val="20"/>
          <w:szCs w:val="20"/>
        </w:rPr>
        <w:t>It</w:t>
      </w:r>
      <w:r w:rsidR="00397AB8" w:rsidRPr="005B5164">
        <w:rPr>
          <w:sz w:val="20"/>
          <w:szCs w:val="20"/>
        </w:rPr>
        <w:t xml:space="preserve"> highlights the diverse perceptions students hold regarding the value of technology in learning, often focusing on the superficial qualities of ICT tools.</w:t>
      </w:r>
      <w:r>
        <w:rPr>
          <w:sz w:val="20"/>
          <w:szCs w:val="20"/>
        </w:rPr>
        <w:t xml:space="preserve"> Challenges arise from students’</w:t>
      </w:r>
      <w:r w:rsidR="00397AB8" w:rsidRPr="005B5164">
        <w:rPr>
          <w:sz w:val="20"/>
          <w:szCs w:val="20"/>
        </w:rPr>
        <w:t xml:space="preserve"> varying levels of interaction with digital technologies, with some preferring individual work over interactive activities. Additionally, technology use can lead to distractions or frustrations, such as physical features of digital tools or administrative tasks like remembering usernames and passwords. Understanding these challenges is crucial for teachers to effectively integrate digital technologies into classroom dialogic interaction, particularly in regions like sub-Saharan Africa, to ensure equitable access to learning opportunities for all students.</w:t>
      </w:r>
    </w:p>
    <w:bookmarkEnd w:id="7"/>
    <w:p w14:paraId="7337FB9F" w14:textId="77777777" w:rsidR="00B70B8D" w:rsidRPr="005B5164" w:rsidRDefault="00397AB8" w:rsidP="005977F2">
      <w:pPr>
        <w:pStyle w:val="NormalWeb"/>
        <w:spacing w:before="0" w:beforeAutospacing="0" w:after="0" w:afterAutospacing="0"/>
        <w:jc w:val="both"/>
        <w:rPr>
          <w:b/>
          <w:bCs/>
          <w:color w:val="252525"/>
          <w:sz w:val="20"/>
          <w:szCs w:val="20"/>
        </w:rPr>
      </w:pPr>
      <w:r w:rsidRPr="005B5164">
        <w:rPr>
          <w:b/>
          <w:bCs/>
          <w:color w:val="252525"/>
          <w:sz w:val="20"/>
          <w:szCs w:val="20"/>
        </w:rPr>
        <w:t>RQ2 theme two – challenges facing teachers</w:t>
      </w:r>
    </w:p>
    <w:p w14:paraId="45BCF241" w14:textId="77777777" w:rsidR="00B70B8D" w:rsidRPr="005B5164" w:rsidRDefault="00397AB8" w:rsidP="002808E4">
      <w:pPr>
        <w:pStyle w:val="NormalWeb"/>
        <w:spacing w:before="0" w:beforeAutospacing="0" w:after="0" w:afterAutospacing="0"/>
        <w:ind w:firstLine="360"/>
        <w:jc w:val="both"/>
        <w:rPr>
          <w:color w:val="252525"/>
          <w:sz w:val="20"/>
          <w:szCs w:val="20"/>
        </w:rPr>
      </w:pPr>
      <w:r w:rsidRPr="005B5164">
        <w:rPr>
          <w:color w:val="252525"/>
          <w:sz w:val="20"/>
          <w:szCs w:val="20"/>
        </w:rPr>
        <w:t xml:space="preserve">This section addresses the potential challenges that teachers may face. The section deals with issues related to classroom management of learning. </w:t>
      </w:r>
    </w:p>
    <w:p w14:paraId="7CA68C3D" w14:textId="77777777" w:rsidR="00B70B8D" w:rsidRPr="005B5164" w:rsidRDefault="00397AB8" w:rsidP="005977F2">
      <w:pPr>
        <w:pStyle w:val="NormalWeb"/>
        <w:spacing w:before="0" w:beforeAutospacing="0" w:after="0" w:afterAutospacing="0"/>
        <w:jc w:val="both"/>
        <w:rPr>
          <w:color w:val="252525"/>
          <w:sz w:val="20"/>
          <w:szCs w:val="20"/>
        </w:rPr>
      </w:pPr>
      <w:r w:rsidRPr="005B5164">
        <w:rPr>
          <w:sz w:val="20"/>
          <w:szCs w:val="20"/>
        </w:rPr>
        <w:t xml:space="preserve">Studies addresses pedagogical challenges faced by teachers regarding the use of digital technologies in classroom dialogic interaction. Central concerns include the quality of teacher questioning and student discussion. Teachers often employ closed questioning on learning management systems </w:t>
      </w:r>
      <w:r w:rsidRPr="005B5164">
        <w:rPr>
          <w:color w:val="252525"/>
          <w:sz w:val="20"/>
          <w:szCs w:val="20"/>
        </w:rPr>
        <w:fldChar w:fldCharType="begin"/>
      </w:r>
      <w:r w:rsidRPr="005B5164">
        <w:rPr>
          <w:color w:val="252525"/>
          <w:sz w:val="20"/>
          <w:szCs w:val="20"/>
        </w:rPr>
        <w:instrText xml:space="preserve"> ADDIN EN.CITE &lt;EndNote&gt;&lt;Cite&gt;&lt;Author&gt;Alexander&lt;/Author&gt;&lt;Year&gt;2017&lt;/Year&gt;&lt;RecNum&gt;3247&lt;/RecNum&gt;&lt;Prefix&gt;e.g.`, &lt;/Prefix&gt;&lt;DisplayText&gt;(e.g., Alexander et al., 2017; Lyle, 2008)&lt;/DisplayText&gt;&lt;record&gt;&lt;rec-number&gt;3247&lt;/rec-number&gt;&lt;foreign-keys&gt;&lt;key app="EN" db-id="zazt0005c02a9aeaxpdv00p7tpexrpww9r0a" timestamp="1668358088"&gt;3247&lt;/key&gt;&lt;/foreign-keys&gt;&lt;ref-type name="Journal Article"&gt;17&lt;/ref-type&gt;&lt;contributors&gt;&lt;authors&gt;&lt;author&gt;Alexander, Robin A&lt;/author&gt;&lt;author&gt;Hardman, Frank Christopher&lt;/author&gt;&lt;author&gt;Hardman, Jan&lt;/author&gt;&lt;/authors&gt;&lt;/contributors&gt;&lt;titles&gt;&lt;title&gt;Dialogic Teaching: Evaluation report and executive summary: Classroom talk, social disadvantage and educational attainment: raising standard, closing the gap&lt;/title&gt;&lt;/titles&gt;&lt;dates&gt;&lt;year&gt;2017&lt;/year&gt;&lt;/dates&gt;&lt;urls&gt;&lt;/urls&gt;&lt;/record&gt;&lt;/Cite&gt;&lt;Cite&gt;&lt;Author&gt;Lyle&lt;/Author&gt;&lt;Year&gt;2008&lt;/Year&gt;&lt;RecNum&gt;3246&lt;/RecNum&gt;&lt;record&gt;&lt;rec-number&gt;3246&lt;/rec-number&gt;&lt;foreign-keys&gt;&lt;key app="EN" db-id="zazt0005c02a9aeaxpdv00p7tpexrpww9r0a" timestamp="1668358055"&gt;3246&lt;/key&gt;&lt;/foreign-keys&gt;&lt;ref-type name="Journal Article"&gt;17&lt;/ref-type&gt;&lt;contributors&gt;&lt;authors&gt;&lt;author&gt;Lyle, Sue&lt;/author&gt;&lt;/authors&gt;&lt;/contributors&gt;&lt;titles&gt;&lt;title&gt;Dialogic teaching: Discussing theoretical contexts and reviewing evidence from classroom practice&lt;/title&gt;&lt;secondary-title&gt;Language and education&lt;/secondary-title&gt;&lt;/titles&gt;&lt;periodical&gt;&lt;full-title&gt;Language and education&lt;/full-title&gt;&lt;/periodical&gt;&lt;pages&gt;222-240&lt;/pages&gt;&lt;volume&gt;22&lt;/volume&gt;&lt;number&gt;3&lt;/number&gt;&lt;dates&gt;&lt;year&gt;2008&lt;/year&gt;&lt;/dates&gt;&lt;isbn&gt;0950-0782&lt;/isbn&gt;&lt;urls&gt;&lt;/urls&gt;&lt;/record&gt;&lt;/Cite&gt;&lt;/EndNote&gt;</w:instrText>
      </w:r>
      <w:r w:rsidRPr="005B5164">
        <w:rPr>
          <w:color w:val="252525"/>
          <w:sz w:val="20"/>
          <w:szCs w:val="20"/>
        </w:rPr>
        <w:fldChar w:fldCharType="separate"/>
      </w:r>
      <w:r w:rsidRPr="005B5164">
        <w:rPr>
          <w:noProof/>
          <w:color w:val="252525"/>
          <w:sz w:val="20"/>
          <w:szCs w:val="20"/>
        </w:rPr>
        <w:t>(e.g., Alexander et al., 2017; Lyle, 2008)</w:t>
      </w:r>
      <w:r w:rsidRPr="005B5164">
        <w:rPr>
          <w:color w:val="252525"/>
          <w:sz w:val="20"/>
          <w:szCs w:val="20"/>
        </w:rPr>
        <w:fldChar w:fldCharType="end"/>
      </w:r>
      <w:r w:rsidRPr="005B5164">
        <w:rPr>
          <w:sz w:val="20"/>
          <w:szCs w:val="20"/>
        </w:rPr>
        <w:t xml:space="preserve">, while opportunities for deeper engagement through uptake questions are limited. Additionally, challenges arise when attempting to foster a new learning culture, including addressing instructors’ belief systems and navigating systemic school cultures and curricular frameworks. Teachers must establish supportive social infrastructures for inquiry-based learning, despite the associated challenges. Broad pedagogical challenges include the need for shifts in pedagogical practices and providing professional support for integrating digital technology into teaching. These challenges encompass instructional design issues and ensuring sustained student engagement with digital tools over time. Addressing these challenges is crucial for effectively integrating digital technologies into teaching practices. </w:t>
      </w:r>
      <w:r w:rsidRPr="005B5164">
        <w:rPr>
          <w:color w:val="252525"/>
          <w:sz w:val="20"/>
          <w:szCs w:val="20"/>
        </w:rPr>
        <w:t xml:space="preserve">The instructional design challenges, such as the possibility of using the same function of a technology to support both dialogic and more traditional didactic strategies </w:t>
      </w:r>
      <w:r w:rsidRPr="005B5164">
        <w:rPr>
          <w:color w:val="252525"/>
          <w:sz w:val="20"/>
          <w:szCs w:val="20"/>
        </w:rPr>
        <w:fldChar w:fldCharType="begin"/>
      </w:r>
      <w:r w:rsidRPr="005B5164">
        <w:rPr>
          <w:color w:val="252525"/>
          <w:sz w:val="20"/>
          <w:szCs w:val="20"/>
        </w:rPr>
        <w:instrText xml:space="preserve"> ADDIN EN.CITE &lt;EndNote&gt;&lt;Cite&gt;&lt;Author&gt;Johnson&lt;/Author&gt;&lt;Year&gt;2016&lt;/Year&gt;&lt;RecNum&gt;2836&lt;/RecNum&gt;&lt;DisplayText&gt;(Johnson et al., 2016)&lt;/DisplayText&gt;&lt;record&gt;&lt;rec-number&gt;2836&lt;/rec-number&gt;&lt;foreign-keys&gt;&lt;key app="EN" db-id="zazt0005c02a9aeaxpdv00p7tpexrpww9r0a" timestamp="1658483709"&gt;2836&lt;/key&gt;&lt;/foreign-keys&gt;&lt;ref-type name="Book Section"&gt;5&lt;/ref-type&gt;&lt;contributors&gt;&lt;authors&gt;&lt;author&gt;Johnson, Amy M&lt;/author&gt;&lt;author&gt;Jacovina, Matthew E&lt;/author&gt;&lt;author&gt;Russell, Devin G&lt;/author&gt;&lt;author&gt;Soto, Christian M&lt;/author&gt;&lt;/authors&gt;&lt;/contributors&gt;&lt;titles&gt;&lt;title&gt;Challenges and solutions when using technologies in the classroom&lt;/title&gt;&lt;secondary-title&gt;Adaptive educational technologies for literacy instruction&lt;/secondary-title&gt;&lt;/titles&gt;&lt;pages&gt;13-30&lt;/pages&gt;&lt;dates&gt;&lt;year&gt;2016&lt;/year&gt;&lt;/dates&gt;&lt;publisher&gt;Routledge&lt;/publisher&gt;&lt;isbn&gt;1315647508&lt;/isbn&gt;&lt;urls&gt;&lt;/urls&gt;&lt;/record&gt;&lt;/Cite&gt;&lt;/EndNote&gt;</w:instrText>
      </w:r>
      <w:r w:rsidRPr="005B5164">
        <w:rPr>
          <w:color w:val="252525"/>
          <w:sz w:val="20"/>
          <w:szCs w:val="20"/>
        </w:rPr>
        <w:fldChar w:fldCharType="separate"/>
      </w:r>
      <w:r w:rsidRPr="005B5164">
        <w:rPr>
          <w:noProof/>
          <w:color w:val="252525"/>
          <w:sz w:val="20"/>
          <w:szCs w:val="20"/>
        </w:rPr>
        <w:t>(Johnson et al., 2016)</w:t>
      </w:r>
      <w:r w:rsidRPr="005B5164">
        <w:rPr>
          <w:color w:val="252525"/>
          <w:sz w:val="20"/>
          <w:szCs w:val="20"/>
        </w:rPr>
        <w:fldChar w:fldCharType="end"/>
      </w:r>
      <w:r w:rsidRPr="005B5164">
        <w:rPr>
          <w:color w:val="252525"/>
          <w:sz w:val="20"/>
          <w:szCs w:val="20"/>
        </w:rPr>
        <w:t xml:space="preserve">, as well as ensuring that student use of a tool does not change over time </w:t>
      </w:r>
      <w:r w:rsidRPr="005B5164">
        <w:rPr>
          <w:color w:val="252525"/>
          <w:sz w:val="20"/>
          <w:szCs w:val="20"/>
        </w:rPr>
        <w:fldChar w:fldCharType="begin"/>
      </w:r>
      <w:r w:rsidRPr="005B5164">
        <w:rPr>
          <w:color w:val="252525"/>
          <w:sz w:val="20"/>
          <w:szCs w:val="20"/>
        </w:rPr>
        <w:instrText xml:space="preserve"> ADDIN EN.CITE &lt;EndNote&gt;&lt;Cite&gt;&lt;Author&gt;Mohammed&lt;/Author&gt;&lt;Year&gt;2019&lt;/Year&gt;&lt;RecNum&gt;3260&lt;/RecNum&gt;&lt;DisplayText&gt;(Major &amp;amp; Warwick, 2019; Mohammed, 2019)&lt;/DisplayText&gt;&lt;record&gt;&lt;rec-number&gt;3260&lt;/rec-number&gt;&lt;foreign-keys&gt;&lt;key app="EN" db-id="zazt0005c02a9aeaxpdv00p7tpexrpww9r0a" timestamp="1668360590"&gt;3260&lt;/key&gt;&lt;/foreign-keys&gt;&lt;ref-type name="Journal Article"&gt;17&lt;/ref-type&gt;&lt;contributors&gt;&lt;authors&gt;&lt;author&gt;Mohammed, Saro&lt;/author&gt;&lt;/authors&gt;&lt;/contributors&gt;&lt;titles&gt;&lt;title&gt;Is technology good or bad for learning&lt;/title&gt;&lt;secondary-title&gt;Brown Center&lt;/secondary-title&gt;&lt;/titles&gt;&lt;periodical&gt;&lt;full-title&gt;Brown Center&lt;/full-title&gt;&lt;/periodical&gt;&lt;dates&gt;&lt;year&gt;2019&lt;/year&gt;&lt;/dates&gt;&lt;urls&gt;&lt;/urls&gt;&lt;/record&gt;&lt;/Cite&gt;&lt;Cite&gt;&lt;Author&gt;Major&lt;/Author&gt;&lt;Year&gt;2019&lt;/Year&gt;&lt;RecNum&gt;3105&lt;/RecNum&gt;&lt;record&gt;&lt;rec-number&gt;3105&lt;/rec-number&gt;&lt;foreign-keys&gt;&lt;key app="EN" db-id="zazt0005c02a9aeaxpdv00p7tpexrpww9r0a" timestamp="1666370441"&gt;3105&lt;/key&gt;&lt;/foreign-keys&gt;&lt;ref-type name="Book Section"&gt;5&lt;/ref-type&gt;&lt;contributors&gt;&lt;authors&gt;&lt;author&gt;Major, Louis&lt;/author&gt;&lt;author&gt;Warwick, Paul&lt;/author&gt;&lt;/authors&gt;&lt;/contributors&gt;&lt;titles&gt;&lt;title&gt;Affordances for dialogue: The role of digital technology in supporting productive classroom talk&lt;/title&gt;&lt;secondary-title&gt;The Routledge international handbook of research on dialogic education&lt;/secondary-title&gt;&lt;/titles&gt;&lt;pages&gt;394-410&lt;/pages&gt;&lt;dates&gt;&lt;year&gt;2019&lt;/year&gt;&lt;/dates&gt;&lt;publisher&gt;Routledge&lt;/publisher&gt;&lt;isbn&gt;0429441673&lt;/isbn&gt;&lt;urls&gt;&lt;/urls&gt;&lt;/record&gt;&lt;/Cite&gt;&lt;/EndNote&gt;</w:instrText>
      </w:r>
      <w:r w:rsidRPr="005B5164">
        <w:rPr>
          <w:color w:val="252525"/>
          <w:sz w:val="20"/>
          <w:szCs w:val="20"/>
        </w:rPr>
        <w:fldChar w:fldCharType="separate"/>
      </w:r>
      <w:r w:rsidRPr="005B5164">
        <w:rPr>
          <w:noProof/>
          <w:color w:val="252525"/>
          <w:sz w:val="20"/>
          <w:szCs w:val="20"/>
        </w:rPr>
        <w:t>(Major &amp; Warwick, 2019; Mohammed, 2019)</w:t>
      </w:r>
      <w:r w:rsidRPr="005B5164">
        <w:rPr>
          <w:color w:val="252525"/>
          <w:sz w:val="20"/>
          <w:szCs w:val="20"/>
        </w:rPr>
        <w:fldChar w:fldCharType="end"/>
      </w:r>
      <w:r w:rsidRPr="005B5164">
        <w:rPr>
          <w:color w:val="252525"/>
          <w:sz w:val="20"/>
          <w:szCs w:val="20"/>
        </w:rPr>
        <w:t>.</w:t>
      </w:r>
    </w:p>
    <w:p w14:paraId="1C5EFE31" w14:textId="04855183" w:rsidR="00B70B8D" w:rsidRPr="005B5164" w:rsidRDefault="00397AB8" w:rsidP="002808E4">
      <w:pPr>
        <w:pStyle w:val="NormalWeb"/>
        <w:spacing w:before="0" w:beforeAutospacing="0" w:after="0" w:afterAutospacing="0"/>
        <w:ind w:firstLine="360"/>
        <w:jc w:val="both"/>
        <w:rPr>
          <w:color w:val="252525"/>
          <w:sz w:val="20"/>
          <w:szCs w:val="20"/>
        </w:rPr>
      </w:pPr>
      <w:r w:rsidRPr="005B5164">
        <w:rPr>
          <w:color w:val="252525"/>
          <w:sz w:val="20"/>
          <w:szCs w:val="20"/>
        </w:rPr>
        <w:t xml:space="preserve">Challenges can occur because of the increasing pace of technology-based education (i.e., </w:t>
      </w:r>
      <w:proofErr w:type="spellStart"/>
      <w:r w:rsidRPr="005B5164">
        <w:rPr>
          <w:color w:val="252525"/>
          <w:sz w:val="20"/>
          <w:szCs w:val="20"/>
        </w:rPr>
        <w:t>EduTech</w:t>
      </w:r>
      <w:proofErr w:type="spellEnd"/>
      <w:r w:rsidRPr="005B5164">
        <w:rPr>
          <w:color w:val="252525"/>
          <w:sz w:val="20"/>
          <w:szCs w:val="20"/>
        </w:rPr>
        <w:t xml:space="preserve">). For example, given the rapid pace of asynchronous group discussion, teachers’ attempts to guide and supervise the topic may easily be disregarded </w:t>
      </w:r>
      <w:r w:rsidRPr="005B5164">
        <w:rPr>
          <w:color w:val="252525"/>
          <w:sz w:val="20"/>
          <w:szCs w:val="20"/>
        </w:rPr>
        <w:fldChar w:fldCharType="begin"/>
      </w:r>
      <w:r w:rsidRPr="005B5164">
        <w:rPr>
          <w:color w:val="252525"/>
          <w:sz w:val="20"/>
          <w:szCs w:val="20"/>
        </w:rPr>
        <w:instrText xml:space="preserve"> ADDIN EN.CITE &lt;EndNote&gt;&lt;Cite&gt;&lt;Author&gt;Koch&lt;/Author&gt;&lt;Year&gt;2017&lt;/Year&gt;&lt;RecNum&gt;3261&lt;/RecNum&gt;&lt;DisplayText&gt;(Koch, 2017)&lt;/DisplayText&gt;&lt;record&gt;&lt;rec-number&gt;3261&lt;/rec-number&gt;&lt;foreign-keys&gt;&lt;key app="EN" db-id="zazt0005c02a9aeaxpdv00p7tpexrpww9r0a" timestamp="1668360906"&gt;3261&lt;/key&gt;&lt;/foreign-keys&gt;&lt;ref-type name="Journal Article"&gt;17&lt;/ref-type&gt;&lt;contributors&gt;&lt;authors&gt;&lt;author&gt;Koch, Katherine&lt;/author&gt;&lt;/authors&gt;&lt;/contributors&gt;&lt;titles&gt;&lt;title&gt;Stay in the box! Embedded assistive technology improves access for students with disabilities&lt;/title&gt;&lt;secondary-title&gt;Education Sciences&lt;/secondary-title&gt;&lt;/titles&gt;&lt;periodical&gt;&lt;full-title&gt;Education Sciences&lt;/full-title&gt;&lt;/periodical&gt;&lt;pages&gt;82&lt;/pages&gt;&lt;volume&gt;7&lt;/volume&gt;&lt;number&gt;4&lt;/number&gt;&lt;dates&gt;&lt;year&gt;2017&lt;/year&gt;&lt;/dates&gt;&lt;isbn&gt;2227-7102&lt;/isbn&gt;&lt;urls&gt;&lt;/urls&gt;&lt;/record&gt;&lt;/Cite&gt;&lt;/EndNote&gt;</w:instrText>
      </w:r>
      <w:r w:rsidRPr="005B5164">
        <w:rPr>
          <w:color w:val="252525"/>
          <w:sz w:val="20"/>
          <w:szCs w:val="20"/>
        </w:rPr>
        <w:fldChar w:fldCharType="separate"/>
      </w:r>
      <w:r w:rsidRPr="005B5164">
        <w:rPr>
          <w:noProof/>
          <w:color w:val="252525"/>
          <w:sz w:val="20"/>
          <w:szCs w:val="20"/>
        </w:rPr>
        <w:t>(Koch, 2017)</w:t>
      </w:r>
      <w:r w:rsidRPr="005B5164">
        <w:rPr>
          <w:color w:val="252525"/>
          <w:sz w:val="20"/>
          <w:szCs w:val="20"/>
        </w:rPr>
        <w:fldChar w:fldCharType="end"/>
      </w:r>
      <w:r w:rsidRPr="005B5164">
        <w:rPr>
          <w:color w:val="252525"/>
          <w:sz w:val="20"/>
          <w:szCs w:val="20"/>
        </w:rPr>
        <w:t>. There are other effects on instructors’ time management, such as the additional pre</w:t>
      </w:r>
      <w:r w:rsidRPr="005B5164">
        <w:rPr>
          <w:color w:val="252525"/>
          <w:sz w:val="20"/>
          <w:szCs w:val="20"/>
        </w:rPr>
        <w:noBreakHyphen/>
        <w:t xml:space="preserve">planning required when using the learning management system </w:t>
      </w:r>
      <w:r w:rsidRPr="005B5164">
        <w:rPr>
          <w:color w:val="252525"/>
          <w:sz w:val="20"/>
          <w:szCs w:val="20"/>
        </w:rPr>
        <w:fldChar w:fldCharType="begin"/>
      </w:r>
      <w:r w:rsidRPr="005B5164">
        <w:rPr>
          <w:color w:val="252525"/>
          <w:sz w:val="20"/>
          <w:szCs w:val="20"/>
        </w:rPr>
        <w:instrText xml:space="preserve"> ADDIN EN.CITE &lt;EndNote&gt;&lt;Cite&gt;&lt;Author&gt;Zafarullah&lt;/Author&gt;&lt;Year&gt;2016&lt;/Year&gt;&lt;RecNum&gt;3265&lt;/RecNum&gt;&lt;DisplayText&gt;(Fathema &amp;amp; Akanda, 2020; Zafarullah et al., 2016)&lt;/DisplayText&gt;&lt;record&gt;&lt;rec-number&gt;3265&lt;/rec-number&gt;&lt;foreign-keys&gt;&lt;key app="EN" db-id="zazt0005c02a9aeaxpdv00p7tpexrpww9r0a" timestamp="1668361209"&gt;3265&lt;/key&gt;&lt;/foreign-keys&gt;&lt;ref-type name="Journal Article"&gt;17&lt;/ref-type&gt;&lt;contributors&gt;&lt;authors&gt;&lt;author&gt;Zafarullah, Sahito&lt;/author&gt;&lt;author&gt;Mumtaz, Khawaja&lt;/author&gt;&lt;author&gt;Murad, Panhwar Uzma&lt;/author&gt;&lt;author&gt;Abida, Siddiqui&lt;/author&gt;&lt;author&gt;Humera, Saeed&lt;/author&gt;&lt;/authors&gt;&lt;/contributors&gt;&lt;titles&gt;&lt;title&gt;Teachers&amp;apos; time management and the performance of students: A comparison of government and private schools of Hyderabad, Sindh, Pakistan&lt;/title&gt;&lt;/titles&gt;&lt;dates&gt;&lt;year&gt;2016&lt;/year&gt;&lt;/dates&gt;&lt;isbn&gt;1925-0746&lt;/isbn&gt;&lt;urls&gt;&lt;/urls&gt;&lt;/record&gt;&lt;/Cite&gt;&lt;Cite&gt;&lt;Author&gt;Fathema&lt;/Author&gt;&lt;Year&gt;2020&lt;/Year&gt;&lt;RecNum&gt;3266&lt;/RecNum&gt;&lt;record&gt;&lt;rec-number&gt;3266&lt;/rec-number&gt;&lt;foreign-keys&gt;&lt;key app="EN" db-id="zazt0005c02a9aeaxpdv00p7tpexrpww9r0a" timestamp="1668361264"&gt;3266&lt;/key&gt;&lt;/foreign-keys&gt;&lt;ref-type name="Journal Article"&gt;17&lt;/ref-type&gt;&lt;contributors&gt;&lt;authors&gt;&lt;author&gt;Fathema, Nafsaniath&lt;/author&gt;&lt;author&gt;Akanda, Mohammad H&lt;/author&gt;&lt;/authors&gt;&lt;/contributors&gt;&lt;titles&gt;&lt;title&gt;Effects of instructors’ academic disciplines and prior experience with learning management systems: A study about the use of Canvas&lt;/title&gt;&lt;secondary-title&gt;Australasian Journal of Educational Technology&lt;/secondary-title&gt;&lt;/titles&gt;&lt;periodical&gt;&lt;full-title&gt;Australasian Journal of Educational Technology&lt;/full-title&gt;&lt;/periodical&gt;&lt;pages&gt;113-125&lt;/pages&gt;&lt;volume&gt;36&lt;/volume&gt;&lt;number&gt;4&lt;/number&gt;&lt;dates&gt;&lt;year&gt;2020&lt;/year&gt;&lt;/dates&gt;&lt;isbn&gt;1449-5554&lt;/isbn&gt;&lt;urls&gt;&lt;/urls&gt;&lt;/record&gt;&lt;/Cite&gt;&lt;/EndNote&gt;</w:instrText>
      </w:r>
      <w:r w:rsidRPr="005B5164">
        <w:rPr>
          <w:color w:val="252525"/>
          <w:sz w:val="20"/>
          <w:szCs w:val="20"/>
        </w:rPr>
        <w:fldChar w:fldCharType="separate"/>
      </w:r>
      <w:r w:rsidRPr="005B5164">
        <w:rPr>
          <w:noProof/>
          <w:color w:val="252525"/>
          <w:sz w:val="20"/>
          <w:szCs w:val="20"/>
        </w:rPr>
        <w:t>(Fathema &amp; Akanda, 2020; Zafarullah et al., 2016)</w:t>
      </w:r>
      <w:r w:rsidRPr="005B5164">
        <w:rPr>
          <w:color w:val="252525"/>
          <w:sz w:val="20"/>
          <w:szCs w:val="20"/>
        </w:rPr>
        <w:fldChar w:fldCharType="end"/>
      </w:r>
      <w:r w:rsidRPr="005B5164">
        <w:rPr>
          <w:color w:val="252525"/>
          <w:sz w:val="20"/>
          <w:szCs w:val="20"/>
        </w:rPr>
        <w:t xml:space="preserve"> and the time</w:t>
      </w:r>
      <w:r w:rsidRPr="005B5164">
        <w:rPr>
          <w:color w:val="252525"/>
          <w:sz w:val="20"/>
          <w:szCs w:val="20"/>
        </w:rPr>
        <w:noBreakHyphen/>
        <w:t xml:space="preserve">consuming nature of following threaded discussions in CSCL environments </w:t>
      </w:r>
      <w:r w:rsidRPr="005B5164">
        <w:rPr>
          <w:color w:val="252525"/>
          <w:sz w:val="20"/>
          <w:szCs w:val="20"/>
        </w:rPr>
        <w:fldChar w:fldCharType="begin"/>
      </w:r>
      <w:r w:rsidRPr="005B5164">
        <w:rPr>
          <w:color w:val="252525"/>
          <w:sz w:val="20"/>
          <w:szCs w:val="20"/>
        </w:rPr>
        <w:instrText xml:space="preserve"> ADDIN EN.CITE &lt;EndNote&gt;&lt;Cite&gt;&lt;Author&gt;Lee&lt;/Author&gt;&lt;Year&gt;2014&lt;/Year&gt;&lt;RecNum&gt;3267&lt;/RecNum&gt;&lt;DisplayText&gt;(J.-T. Lee et al., 2014)&lt;/DisplayText&gt;&lt;record&gt;&lt;rec-number&gt;3267&lt;/rec-number&gt;&lt;foreign-keys&gt;&lt;key app="EN" db-id="zazt0005c02a9aeaxpdv00p7tpexrpww9r0a" timestamp="1668361388"&gt;3267&lt;/key&gt;&lt;/foreign-keys&gt;&lt;ref-type name="Journal Article"&gt;17&lt;/ref-type&gt;&lt;contributors&gt;&lt;authors&gt;&lt;author&gt;Lee, Jung-Tae&lt;/author&gt;&lt;author&gt;Yang, Min-Chul&lt;/author&gt;&lt;author&gt;Rim, Hae-Chang&lt;/author&gt;&lt;/authors&gt;&lt;/contributors&gt;&lt;titles&gt;&lt;title&gt;Discovering high-quality threaded discussions in online forums&lt;/title&gt;&lt;secondary-title&gt;Journal of Computer Science and Technology&lt;/secondary-title&gt;&lt;/titles&gt;&lt;periodical&gt;&lt;full-title&gt;Journal of Computer Science and Technology&lt;/full-title&gt;&lt;/periodical&gt;&lt;pages&gt;519-531&lt;/pages&gt;&lt;volume&gt;29&lt;/volume&gt;&lt;number&gt;3&lt;/number&gt;&lt;dates&gt;&lt;year&gt;2014&lt;/year&gt;&lt;/dates&gt;&lt;isbn&gt;1860-4749&lt;/isbn&gt;&lt;urls&gt;&lt;/urls&gt;&lt;/record&gt;&lt;/Cite&gt;&lt;/EndNote&gt;</w:instrText>
      </w:r>
      <w:r w:rsidRPr="005B5164">
        <w:rPr>
          <w:color w:val="252525"/>
          <w:sz w:val="20"/>
          <w:szCs w:val="20"/>
        </w:rPr>
        <w:fldChar w:fldCharType="separate"/>
      </w:r>
      <w:r w:rsidRPr="005B5164">
        <w:rPr>
          <w:noProof/>
          <w:color w:val="252525"/>
          <w:sz w:val="20"/>
          <w:szCs w:val="20"/>
        </w:rPr>
        <w:t>(J.-T. Lee et al., 2014)</w:t>
      </w:r>
      <w:r w:rsidRPr="005B5164">
        <w:rPr>
          <w:color w:val="252525"/>
          <w:sz w:val="20"/>
          <w:szCs w:val="20"/>
        </w:rPr>
        <w:fldChar w:fldCharType="end"/>
      </w:r>
      <w:r w:rsidRPr="005B5164">
        <w:rPr>
          <w:color w:val="252525"/>
          <w:sz w:val="20"/>
          <w:szCs w:val="20"/>
        </w:rPr>
        <w:t xml:space="preserve">. Teachers also expressed their concerns about new behavior management challenges. Students, for example, may get disinterested when interacting with learning management system </w:t>
      </w:r>
      <w:r w:rsidRPr="005B5164">
        <w:rPr>
          <w:color w:val="252525"/>
          <w:sz w:val="20"/>
          <w:szCs w:val="20"/>
        </w:rPr>
        <w:fldChar w:fldCharType="begin"/>
      </w:r>
      <w:r w:rsidRPr="005B5164">
        <w:rPr>
          <w:color w:val="252525"/>
          <w:sz w:val="20"/>
          <w:szCs w:val="20"/>
        </w:rPr>
        <w:instrText xml:space="preserve"> ADDIN EN.CITE &lt;EndNote&gt;&lt;Cite&gt;&lt;Author&gt;Mohammadi&lt;/Author&gt;&lt;Year&gt;2021&lt;/Year&gt;&lt;RecNum&gt;3268&lt;/RecNum&gt;&lt;DisplayText&gt;(Cicekci &amp;amp; Sadik, 2019; Mohammadi et al., 2021)&lt;/DisplayText&gt;&lt;record&gt;&lt;rec-number&gt;3268&lt;/rec-number&gt;&lt;foreign-keys&gt;&lt;key app="EN" db-id="zazt0005c02a9aeaxpdv00p7tpexrpww9r0a" timestamp="1668361515"&gt;3268&lt;/key&gt;&lt;/foreign-keys&gt;&lt;ref-type name="Journal Article"&gt;17&lt;/ref-type&gt;&lt;contributors&gt;&lt;authors&gt;&lt;author&gt;Mohammadi, Mustafa Kamel&lt;/author&gt;&lt;author&gt;Mohibbi, Abdul Aziz&lt;/author&gt;&lt;author&gt;Hedayati, Mohammad Hadi&lt;/author&gt;&lt;/authors&gt;&lt;/contributors&gt;&lt;titles&gt;&lt;title&gt;Investigating the challenges and factors influencing the use of the learning management system during the Covid-19 pandemic in Afghanistan&lt;/title&gt;&lt;secondary-title&gt;Education and Information Technologies&lt;/secondary-title&gt;&lt;/titles&gt;&lt;periodical&gt;&lt;full-title&gt;Education and Information Technologies&lt;/full-title&gt;&lt;/periodical&gt;&lt;pages&gt;5165-5198&lt;/pages&gt;&lt;volume&gt;26&lt;/volume&gt;&lt;number&gt;5&lt;/number&gt;&lt;dates&gt;&lt;year&gt;2021&lt;/year&gt;&lt;/dates&gt;&lt;isbn&gt;1573-7608&lt;/isbn&gt;&lt;urls&gt;&lt;/urls&gt;&lt;/record&gt;&lt;/Cite&gt;&lt;Cite&gt;&lt;Author&gt;Cicekci&lt;/Author&gt;&lt;Year&gt;2019&lt;/Year&gt;&lt;RecNum&gt;3269&lt;/RecNum&gt;&lt;record&gt;&lt;rec-number&gt;3269&lt;/rec-number&gt;&lt;foreign-keys&gt;&lt;key app="EN" db-id="zazt0005c02a9aeaxpdv00p7tpexrpww9r0a" timestamp="1668361580"&gt;3269&lt;/key&gt;&lt;/foreign-keys&gt;&lt;ref-type name="Journal Article"&gt;17&lt;/ref-type&gt;&lt;contributors&gt;&lt;authors&gt;&lt;author&gt;Cicekci, Mehmet Ali&lt;/author&gt;&lt;author&gt;Sadik, Fatma&lt;/author&gt;&lt;/authors&gt;&lt;/contributors&gt;&lt;titles&gt;&lt;title&gt;Teachers&amp;apos; and Students&amp;apos; Opinions about Students&amp;apos; Attention Problems during the Lesson&lt;/title&gt;&lt;secondary-title&gt;Journal of Education and Learning&lt;/secondary-title&gt;&lt;/titles&gt;&lt;periodical&gt;&lt;full-title&gt;Journal of Education and Learning&lt;/full-title&gt;&lt;/periodical&gt;&lt;pages&gt;15-30&lt;/pages&gt;&lt;volume&gt;8&lt;/volume&gt;&lt;number&gt;6&lt;/number&gt;&lt;dates&gt;&lt;year&gt;2019&lt;/year&gt;&lt;/dates&gt;&lt;isbn&gt;1927-5250&lt;/isbn&gt;&lt;urls&gt;&lt;/urls&gt;&lt;/record&gt;&lt;/Cite&gt;&lt;/EndNote&gt;</w:instrText>
      </w:r>
      <w:r w:rsidRPr="005B5164">
        <w:rPr>
          <w:color w:val="252525"/>
          <w:sz w:val="20"/>
          <w:szCs w:val="20"/>
        </w:rPr>
        <w:fldChar w:fldCharType="separate"/>
      </w:r>
      <w:r w:rsidRPr="005B5164">
        <w:rPr>
          <w:noProof/>
          <w:color w:val="252525"/>
          <w:sz w:val="20"/>
          <w:szCs w:val="20"/>
        </w:rPr>
        <w:t>(Cicekci &amp; Sadik, 2019; Mohammadi et al., 2021)</w:t>
      </w:r>
      <w:r w:rsidRPr="005B5164">
        <w:rPr>
          <w:color w:val="252525"/>
          <w:sz w:val="20"/>
          <w:szCs w:val="20"/>
        </w:rPr>
        <w:fldChar w:fldCharType="end"/>
      </w:r>
      <w:r w:rsidRPr="005B5164">
        <w:rPr>
          <w:color w:val="252525"/>
          <w:sz w:val="20"/>
          <w:szCs w:val="20"/>
        </w:rPr>
        <w:t xml:space="preserve">, whilst some teachers may be challenged by the manner in which students express themselves when conversing digitally, including their use of slang and inappropriate language </w:t>
      </w:r>
      <w:r w:rsidRPr="005B5164">
        <w:rPr>
          <w:color w:val="252525"/>
          <w:sz w:val="20"/>
          <w:szCs w:val="20"/>
        </w:rPr>
        <w:fldChar w:fldCharType="begin"/>
      </w:r>
      <w:r w:rsidRPr="005B5164">
        <w:rPr>
          <w:color w:val="252525"/>
          <w:sz w:val="20"/>
          <w:szCs w:val="20"/>
        </w:rPr>
        <w:instrText xml:space="preserve"> ADDIN EN.CITE &lt;EndNote&gt;&lt;Cite&gt;&lt;Author&gt;Åberg&lt;/Author&gt;&lt;Year&gt;2012&lt;/Year&gt;&lt;RecNum&gt;3270&lt;/RecNum&gt;&lt;DisplayText&gt;(Åberg &amp;amp; Waller, 2012)&lt;/DisplayText&gt;&lt;record&gt;&lt;rec-number&gt;3270&lt;/rec-number&gt;&lt;foreign-keys&gt;&lt;key app="EN" db-id="zazt0005c02a9aeaxpdv00p7tpexrpww9r0a" timestamp="1668361672"&gt;3270&lt;/key&gt;&lt;/foreign-keys&gt;&lt;ref-type name="Generic"&gt;13&lt;/ref-type&gt;&lt;contributors&gt;&lt;authors&gt;&lt;author&gt;Åberg, Andreas&lt;/author&gt;&lt;author&gt;Waller, Jakob&lt;/author&gt;&lt;/authors&gt;&lt;/contributors&gt;&lt;titles&gt;&lt;title&gt;English language teachers’ perception of their role and responsibility in three secondary schools in Jamaica&lt;/title&gt;&lt;/titles&gt;&lt;dates&gt;&lt;year&gt;2012&lt;/year&gt;&lt;/dates&gt;&lt;publisher&gt;Malmö högskola/Lärande och samhälle&lt;/publisher&gt;&lt;urls&gt;&lt;/urls&gt;&lt;/record&gt;&lt;/Cite&gt;&lt;/EndNote&gt;</w:instrText>
      </w:r>
      <w:r w:rsidRPr="005B5164">
        <w:rPr>
          <w:color w:val="252525"/>
          <w:sz w:val="20"/>
          <w:szCs w:val="20"/>
        </w:rPr>
        <w:fldChar w:fldCharType="separate"/>
      </w:r>
      <w:r w:rsidRPr="005B5164">
        <w:rPr>
          <w:noProof/>
          <w:color w:val="252525"/>
          <w:sz w:val="20"/>
          <w:szCs w:val="20"/>
        </w:rPr>
        <w:t>(Åberg &amp; Waller, 2012)</w:t>
      </w:r>
      <w:r w:rsidRPr="005B5164">
        <w:rPr>
          <w:color w:val="252525"/>
          <w:sz w:val="20"/>
          <w:szCs w:val="20"/>
        </w:rPr>
        <w:fldChar w:fldCharType="end"/>
      </w:r>
      <w:r w:rsidRPr="005B5164">
        <w:rPr>
          <w:color w:val="252525"/>
          <w:sz w:val="20"/>
          <w:szCs w:val="20"/>
        </w:rPr>
        <w:t>.</w:t>
      </w:r>
    </w:p>
    <w:p w14:paraId="034A655D" w14:textId="578F9809" w:rsidR="00B70B8D" w:rsidRPr="005B5164" w:rsidRDefault="00397AB8" w:rsidP="002808E4">
      <w:pPr>
        <w:pStyle w:val="NormalWeb"/>
        <w:spacing w:before="0" w:beforeAutospacing="0" w:after="0" w:afterAutospacing="0"/>
        <w:ind w:firstLine="360"/>
        <w:jc w:val="both"/>
        <w:rPr>
          <w:color w:val="252525"/>
          <w:sz w:val="20"/>
          <w:szCs w:val="20"/>
        </w:rPr>
      </w:pPr>
      <w:r w:rsidRPr="005B5164">
        <w:rPr>
          <w:color w:val="252525"/>
          <w:sz w:val="20"/>
          <w:szCs w:val="20"/>
        </w:rPr>
        <w:t xml:space="preserve">The challenges resulting from teachers’ technical skills are a penultimate feature of included studies. It was reported in some studies </w:t>
      </w:r>
      <w:r w:rsidRPr="005B5164">
        <w:rPr>
          <w:color w:val="252525"/>
          <w:sz w:val="20"/>
          <w:szCs w:val="20"/>
        </w:rPr>
        <w:fldChar w:fldCharType="begin"/>
      </w:r>
      <w:r w:rsidRPr="005B5164">
        <w:rPr>
          <w:color w:val="252525"/>
          <w:sz w:val="20"/>
          <w:szCs w:val="20"/>
        </w:rPr>
        <w:instrText xml:space="preserve"> ADDIN EN.CITE </w:instrText>
      </w:r>
      <w:r w:rsidRPr="005B5164">
        <w:rPr>
          <w:color w:val="252525"/>
          <w:sz w:val="20"/>
          <w:szCs w:val="20"/>
        </w:rPr>
        <w:fldChar w:fldCharType="begin"/>
      </w:r>
      <w:r w:rsidRPr="005B5164">
        <w:rPr>
          <w:color w:val="252525"/>
          <w:sz w:val="20"/>
          <w:szCs w:val="20"/>
        </w:rPr>
        <w:instrText xml:space="preserve"> ADDIN EN.CITE.DATA </w:instrText>
      </w:r>
      <w:r w:rsidRPr="005B5164">
        <w:rPr>
          <w:color w:val="252525"/>
          <w:sz w:val="20"/>
          <w:szCs w:val="20"/>
        </w:rPr>
        <w:fldChar w:fldCharType="end"/>
      </w:r>
      <w:r w:rsidRPr="005B5164">
        <w:rPr>
          <w:color w:val="252525"/>
          <w:sz w:val="20"/>
          <w:szCs w:val="20"/>
        </w:rPr>
        <w:fldChar w:fldCharType="separate"/>
      </w:r>
      <w:r w:rsidRPr="005B5164">
        <w:rPr>
          <w:noProof/>
          <w:color w:val="252525"/>
          <w:sz w:val="20"/>
          <w:szCs w:val="20"/>
        </w:rPr>
        <w:t>(Buabeng-Andoh, 2012; Guerriero, 2014; Lodge et al., 2018)</w:t>
      </w:r>
      <w:r w:rsidRPr="005B5164">
        <w:rPr>
          <w:color w:val="252525"/>
          <w:sz w:val="20"/>
          <w:szCs w:val="20"/>
        </w:rPr>
        <w:fldChar w:fldCharType="end"/>
      </w:r>
      <w:r w:rsidR="00D0322D">
        <w:rPr>
          <w:color w:val="252525"/>
          <w:sz w:val="20"/>
          <w:szCs w:val="20"/>
        </w:rPr>
        <w:t xml:space="preserve"> that</w:t>
      </w:r>
      <w:r w:rsidRPr="005B5164">
        <w:rPr>
          <w:color w:val="252525"/>
          <w:sz w:val="20"/>
          <w:szCs w:val="20"/>
        </w:rPr>
        <w:t xml:space="preserve">, teachers </w:t>
      </w:r>
      <w:r w:rsidR="00D0322D">
        <w:rPr>
          <w:color w:val="252525"/>
          <w:sz w:val="20"/>
          <w:szCs w:val="20"/>
        </w:rPr>
        <w:t xml:space="preserve">should </w:t>
      </w:r>
      <w:r w:rsidRPr="005B5164">
        <w:rPr>
          <w:color w:val="252525"/>
          <w:sz w:val="20"/>
          <w:szCs w:val="20"/>
        </w:rPr>
        <w:t>have a specific level of technical</w:t>
      </w:r>
      <w:r w:rsidR="00D0322D">
        <w:rPr>
          <w:color w:val="252525"/>
          <w:sz w:val="20"/>
          <w:szCs w:val="20"/>
        </w:rPr>
        <w:t xml:space="preserve"> skills </w:t>
      </w:r>
      <w:r w:rsidRPr="005B5164">
        <w:rPr>
          <w:color w:val="252525"/>
          <w:sz w:val="20"/>
          <w:szCs w:val="20"/>
        </w:rPr>
        <w:t xml:space="preserve">when employing digital technology to enhance dialogic </w:t>
      </w:r>
      <w:r w:rsidR="00D0322D">
        <w:rPr>
          <w:color w:val="252525"/>
          <w:sz w:val="20"/>
          <w:szCs w:val="20"/>
        </w:rPr>
        <w:t>interaction</w:t>
      </w:r>
      <w:r w:rsidRPr="005B5164">
        <w:rPr>
          <w:color w:val="252525"/>
          <w:sz w:val="20"/>
          <w:szCs w:val="20"/>
        </w:rPr>
        <w:t xml:space="preserve">. This, for example, will allow teachers to become fully acquainted with the benefits of a technology’s features </w:t>
      </w:r>
      <w:r w:rsidRPr="005B5164">
        <w:rPr>
          <w:color w:val="252525"/>
          <w:sz w:val="20"/>
          <w:szCs w:val="20"/>
        </w:rPr>
        <w:fldChar w:fldCharType="begin"/>
      </w:r>
      <w:r w:rsidRPr="005B5164">
        <w:rPr>
          <w:color w:val="252525"/>
          <w:sz w:val="20"/>
          <w:szCs w:val="20"/>
        </w:rPr>
        <w:instrText xml:space="preserve"> ADDIN EN.CITE &lt;EndNote&gt;&lt;Cite&gt;&lt;Author&gt;Cardullo&lt;/Author&gt;&lt;Year&gt;2015&lt;/Year&gt;&lt;RecNum&gt;3274&lt;/RecNum&gt;&lt;DisplayText&gt;(Cardullo &amp;amp; Wilson, 2015)&lt;/DisplayText&gt;&lt;record&gt;&lt;rec-number&gt;3274&lt;/rec-number&gt;&lt;foreign-keys&gt;&lt;key app="EN" db-id="zazt0005c02a9aeaxpdv00p7tpexrpww9r0a" timestamp="1668362113"&gt;3274&lt;/key&gt;&lt;/foreign-keys&gt;&lt;ref-type name="Book Section"&gt;5&lt;/ref-type&gt;&lt;contributors&gt;&lt;authors&gt;&lt;author&gt;Cardullo, Victoria M&lt;/author&gt;&lt;author&gt;Wilson, Nance S&lt;/author&gt;&lt;/authors&gt;&lt;/contributors&gt;&lt;titles&gt;&lt;title&gt;The benefits and challenges of mobile and ubiquitous technology in education&lt;/title&gt;&lt;secondary-title&gt;Promoting active learning through the Integration of Mobile and Ubiquitous Technologies&lt;/secondary-title&gt;&lt;/titles&gt;&lt;pages&gt;1-23&lt;/pages&gt;&lt;dates&gt;&lt;year&gt;2015&lt;/year&gt;&lt;/dates&gt;&lt;publisher&gt;IGI Global&lt;/publisher&gt;&lt;urls&gt;&lt;/urls&gt;&lt;/record&gt;&lt;/Cite&gt;&lt;/EndNote&gt;</w:instrText>
      </w:r>
      <w:r w:rsidRPr="005B5164">
        <w:rPr>
          <w:color w:val="252525"/>
          <w:sz w:val="20"/>
          <w:szCs w:val="20"/>
        </w:rPr>
        <w:fldChar w:fldCharType="separate"/>
      </w:r>
      <w:r w:rsidRPr="005B5164">
        <w:rPr>
          <w:noProof/>
          <w:color w:val="252525"/>
          <w:sz w:val="20"/>
          <w:szCs w:val="20"/>
        </w:rPr>
        <w:t>(Cardullo &amp; Wilson, 2015)</w:t>
      </w:r>
      <w:r w:rsidRPr="005B5164">
        <w:rPr>
          <w:color w:val="252525"/>
          <w:sz w:val="20"/>
          <w:szCs w:val="20"/>
        </w:rPr>
        <w:fldChar w:fldCharType="end"/>
      </w:r>
      <w:r w:rsidRPr="005B5164">
        <w:rPr>
          <w:color w:val="252525"/>
          <w:sz w:val="20"/>
          <w:szCs w:val="20"/>
        </w:rPr>
        <w:t>.</w:t>
      </w:r>
      <w:r w:rsidR="00D0322D">
        <w:rPr>
          <w:color w:val="252525"/>
          <w:sz w:val="20"/>
          <w:szCs w:val="20"/>
        </w:rPr>
        <w:t xml:space="preserve"> It is also </w:t>
      </w:r>
      <w:r w:rsidRPr="005B5164">
        <w:rPr>
          <w:color w:val="252525"/>
          <w:sz w:val="20"/>
          <w:szCs w:val="20"/>
        </w:rPr>
        <w:t>importan</w:t>
      </w:r>
      <w:r w:rsidR="002808E4">
        <w:rPr>
          <w:color w:val="252525"/>
          <w:sz w:val="20"/>
          <w:szCs w:val="20"/>
        </w:rPr>
        <w:t xml:space="preserve">t </w:t>
      </w:r>
      <w:r w:rsidRPr="005B5164">
        <w:rPr>
          <w:color w:val="252525"/>
          <w:sz w:val="20"/>
          <w:szCs w:val="20"/>
        </w:rPr>
        <w:t xml:space="preserve">having the necessary access to existing high digital resources to support teachers to deploy technology effectively in the classroom </w:t>
      </w:r>
      <w:r w:rsidRPr="005B5164">
        <w:rPr>
          <w:color w:val="252525"/>
          <w:sz w:val="20"/>
          <w:szCs w:val="20"/>
        </w:rPr>
        <w:fldChar w:fldCharType="begin"/>
      </w:r>
      <w:r w:rsidRPr="005B5164">
        <w:rPr>
          <w:color w:val="252525"/>
          <w:sz w:val="20"/>
          <w:szCs w:val="20"/>
        </w:rPr>
        <w:instrText xml:space="preserve"> ADDIN EN.CITE </w:instrText>
      </w:r>
      <w:r w:rsidRPr="005B5164">
        <w:rPr>
          <w:color w:val="252525"/>
          <w:sz w:val="20"/>
          <w:szCs w:val="20"/>
        </w:rPr>
        <w:fldChar w:fldCharType="begin"/>
      </w:r>
      <w:r w:rsidRPr="005B5164">
        <w:rPr>
          <w:color w:val="252525"/>
          <w:sz w:val="20"/>
          <w:szCs w:val="20"/>
        </w:rPr>
        <w:instrText xml:space="preserve"> ADDIN EN.CITE.DATA </w:instrText>
      </w:r>
      <w:r w:rsidRPr="005B5164">
        <w:rPr>
          <w:color w:val="252525"/>
          <w:sz w:val="20"/>
          <w:szCs w:val="20"/>
        </w:rPr>
        <w:fldChar w:fldCharType="end"/>
      </w:r>
      <w:r w:rsidRPr="005B5164">
        <w:rPr>
          <w:color w:val="252525"/>
          <w:sz w:val="20"/>
          <w:szCs w:val="20"/>
        </w:rPr>
        <w:fldChar w:fldCharType="separate"/>
      </w:r>
      <w:r w:rsidRPr="005B5164">
        <w:rPr>
          <w:noProof/>
          <w:color w:val="252525"/>
          <w:sz w:val="20"/>
          <w:szCs w:val="20"/>
        </w:rPr>
        <w:t>(Bower, 2008; Cardullo &amp; Wilson, 2015; Cook et al., 2019; Ghavifekr &amp; Rosdy, 2015; Major et al., 2022)</w:t>
      </w:r>
      <w:r w:rsidRPr="005B5164">
        <w:rPr>
          <w:color w:val="252525"/>
          <w:sz w:val="20"/>
          <w:szCs w:val="20"/>
        </w:rPr>
        <w:fldChar w:fldCharType="end"/>
      </w:r>
      <w:r w:rsidRPr="005B5164">
        <w:rPr>
          <w:color w:val="252525"/>
          <w:sz w:val="20"/>
          <w:szCs w:val="20"/>
        </w:rPr>
        <w:t>.</w:t>
      </w:r>
    </w:p>
    <w:p w14:paraId="41DFA352" w14:textId="77777777" w:rsidR="00B70B8D" w:rsidRPr="005B5164" w:rsidRDefault="00397AB8" w:rsidP="005977F2">
      <w:pPr>
        <w:spacing w:after="0" w:line="240" w:lineRule="auto"/>
        <w:ind w:leftChars="0" w:left="0" w:firstLineChars="0" w:firstLine="0"/>
        <w:jc w:val="both"/>
        <w:rPr>
          <w:rFonts w:ascii="Times New Roman" w:hAnsi="Times New Roman" w:cs="Times New Roman"/>
          <w:b/>
          <w:bCs/>
          <w:sz w:val="20"/>
          <w:szCs w:val="20"/>
        </w:rPr>
      </w:pPr>
      <w:r w:rsidRPr="005B5164">
        <w:rPr>
          <w:rFonts w:ascii="Times New Roman" w:hAnsi="Times New Roman" w:cs="Times New Roman"/>
          <w:b/>
          <w:bCs/>
          <w:sz w:val="20"/>
          <w:szCs w:val="20"/>
        </w:rPr>
        <w:t>Theorizing constructs of digital technology affordance for epistemological access</w:t>
      </w:r>
    </w:p>
    <w:p w14:paraId="3B895755" w14:textId="4BF27630" w:rsidR="00B70B8D" w:rsidRPr="005B5164" w:rsidRDefault="00397AB8" w:rsidP="002808E4">
      <w:pPr>
        <w:autoSpaceDE w:val="0"/>
        <w:autoSpaceDN w:val="0"/>
        <w:adjustRightInd w:val="0"/>
        <w:spacing w:after="0" w:line="240" w:lineRule="auto"/>
        <w:ind w:leftChars="0" w:left="0" w:firstLineChars="0" w:firstLine="270"/>
        <w:jc w:val="both"/>
        <w:rPr>
          <w:rFonts w:ascii="Times New Roman" w:eastAsia="Times New Roman" w:hAnsi="Times New Roman" w:cs="Times New Roman"/>
          <w:sz w:val="20"/>
          <w:szCs w:val="20"/>
        </w:rPr>
      </w:pPr>
      <w:r w:rsidRPr="005B5164">
        <w:rPr>
          <w:rFonts w:ascii="Times New Roman" w:hAnsi="Times New Roman" w:cs="Times New Roman"/>
          <w:color w:val="000000"/>
          <w:sz w:val="20"/>
          <w:szCs w:val="20"/>
        </w:rPr>
        <w:t>Drawing from the conceptual themes extracted from literature reviewed, we answered the</w:t>
      </w:r>
      <w:r w:rsidR="002808E4">
        <w:rPr>
          <w:rFonts w:ascii="Times New Roman" w:hAnsi="Times New Roman" w:cs="Times New Roman"/>
          <w:color w:val="000000"/>
          <w:sz w:val="20"/>
          <w:szCs w:val="20"/>
        </w:rPr>
        <w:t xml:space="preserve"> research question one and two</w:t>
      </w:r>
      <w:r w:rsidRPr="005B5164">
        <w:rPr>
          <w:rFonts w:ascii="Times New Roman" w:hAnsi="Times New Roman" w:cs="Times New Roman"/>
          <w:color w:val="000000"/>
          <w:sz w:val="20"/>
          <w:szCs w:val="20"/>
        </w:rPr>
        <w:t xml:space="preserve">, by theorizing a framework as shown in </w:t>
      </w:r>
      <w:r w:rsidRPr="005B5164">
        <w:rPr>
          <w:rFonts w:ascii="Times New Roman" w:hAnsi="Times New Roman" w:cs="Times New Roman"/>
          <w:b/>
          <w:bCs/>
          <w:color w:val="000000"/>
          <w:sz w:val="20"/>
          <w:szCs w:val="20"/>
        </w:rPr>
        <w:t>Figure 7</w:t>
      </w:r>
      <w:r w:rsidRPr="005B5164">
        <w:rPr>
          <w:rFonts w:ascii="Times New Roman" w:hAnsi="Times New Roman" w:cs="Times New Roman"/>
          <w:color w:val="000000"/>
          <w:sz w:val="20"/>
          <w:szCs w:val="20"/>
        </w:rPr>
        <w:t xml:space="preserve">. </w:t>
      </w:r>
      <w:r w:rsidRPr="005B5164">
        <w:rPr>
          <w:rFonts w:ascii="Times New Roman" w:eastAsia="Times New Roman" w:hAnsi="Times New Roman" w:cs="Times New Roman"/>
          <w:sz w:val="20"/>
          <w:szCs w:val="20"/>
        </w:rPr>
        <w:t xml:space="preserve">The framework consists of three domains, </w:t>
      </w:r>
      <w:proofErr w:type="spellStart"/>
      <w:r w:rsidR="002808E4">
        <w:rPr>
          <w:rFonts w:ascii="Times New Roman" w:eastAsia="Times New Roman" w:hAnsi="Times New Roman" w:cs="Times New Roman"/>
          <w:sz w:val="20"/>
          <w:szCs w:val="20"/>
        </w:rPr>
        <w:t>i</w:t>
      </w:r>
      <w:proofErr w:type="spellEnd"/>
      <w:r w:rsidR="002808E4">
        <w:rPr>
          <w:rFonts w:ascii="Times New Roman" w:eastAsia="Times New Roman" w:hAnsi="Times New Roman" w:cs="Times New Roman"/>
          <w:sz w:val="20"/>
          <w:szCs w:val="20"/>
        </w:rPr>
        <w:t>.</w:t>
      </w:r>
      <w:r w:rsidRPr="005B5164">
        <w:rPr>
          <w:rFonts w:ascii="Times New Roman" w:eastAsia="Times New Roman" w:hAnsi="Times New Roman" w:cs="Times New Roman"/>
          <w:sz w:val="20"/>
          <w:szCs w:val="20"/>
        </w:rPr>
        <w:t xml:space="preserve"> T1</w:t>
      </w:r>
      <w:r w:rsidR="002808E4">
        <w:rPr>
          <w:rFonts w:ascii="Times New Roman" w:eastAsia="Times New Roman" w:hAnsi="Times New Roman" w:cs="Times New Roman"/>
          <w:sz w:val="20"/>
          <w:szCs w:val="20"/>
        </w:rPr>
        <w:t>-</w:t>
      </w:r>
      <w:r w:rsidRPr="005B5164">
        <w:rPr>
          <w:rFonts w:ascii="Times New Roman" w:eastAsia="Times New Roman" w:hAnsi="Times New Roman" w:cs="Times New Roman"/>
          <w:sz w:val="20"/>
          <w:szCs w:val="20"/>
        </w:rPr>
        <w:t xml:space="preserve">T2 cultural conditioning and structural conditioning; </w:t>
      </w:r>
      <w:r w:rsidR="002808E4">
        <w:rPr>
          <w:rFonts w:ascii="Times New Roman" w:eastAsia="Times New Roman" w:hAnsi="Times New Roman" w:cs="Times New Roman"/>
          <w:sz w:val="20"/>
          <w:szCs w:val="20"/>
        </w:rPr>
        <w:t>ii.</w:t>
      </w:r>
      <w:r w:rsidRPr="005B5164">
        <w:rPr>
          <w:rFonts w:ascii="Times New Roman" w:eastAsia="Times New Roman" w:hAnsi="Times New Roman" w:cs="Times New Roman"/>
          <w:sz w:val="20"/>
          <w:szCs w:val="20"/>
        </w:rPr>
        <w:t xml:space="preserve"> T2</w:t>
      </w:r>
      <w:r w:rsidRPr="005B5164">
        <w:rPr>
          <w:rFonts w:ascii="Times New Roman" w:eastAsia="Times New Roman" w:hAnsi="Times New Roman" w:cs="Times New Roman"/>
          <w:sz w:val="20"/>
          <w:szCs w:val="20"/>
        </w:rPr>
        <w:noBreakHyphen/>
        <w:t>T3 social/socio</w:t>
      </w:r>
      <w:r w:rsidRPr="005B5164">
        <w:rPr>
          <w:rFonts w:ascii="Times New Roman" w:eastAsia="Times New Roman" w:hAnsi="Times New Roman" w:cs="Times New Roman"/>
          <w:sz w:val="20"/>
          <w:szCs w:val="20"/>
        </w:rPr>
        <w:noBreakHyphen/>
        <w:t xml:space="preserve">cultural interactions; and </w:t>
      </w:r>
      <w:r w:rsidR="002808E4">
        <w:rPr>
          <w:rFonts w:ascii="Times New Roman" w:eastAsia="Times New Roman" w:hAnsi="Times New Roman" w:cs="Times New Roman"/>
          <w:sz w:val="20"/>
          <w:szCs w:val="20"/>
        </w:rPr>
        <w:t>iii.</w:t>
      </w:r>
      <w:r w:rsidRPr="005B5164">
        <w:rPr>
          <w:rFonts w:ascii="Times New Roman" w:eastAsia="Times New Roman" w:hAnsi="Times New Roman" w:cs="Times New Roman"/>
          <w:sz w:val="20"/>
          <w:szCs w:val="20"/>
        </w:rPr>
        <w:t xml:space="preserve"> T3</w:t>
      </w:r>
      <w:r w:rsidR="002808E4">
        <w:rPr>
          <w:rFonts w:ascii="Times New Roman" w:eastAsia="Times New Roman" w:hAnsi="Times New Roman" w:cs="Times New Roman"/>
          <w:sz w:val="20"/>
          <w:szCs w:val="20"/>
        </w:rPr>
        <w:t>-</w:t>
      </w:r>
      <w:r w:rsidRPr="005B5164">
        <w:rPr>
          <w:rFonts w:ascii="Times New Roman" w:eastAsia="Times New Roman" w:hAnsi="Times New Roman" w:cs="Times New Roman"/>
          <w:sz w:val="20"/>
          <w:szCs w:val="20"/>
        </w:rPr>
        <w:t>T4 structural/cultural elaboration. The framework highlights the identified events as the answer to research question one in the first</w:t>
      </w:r>
      <w:r w:rsidR="002808E4">
        <w:rPr>
          <w:rFonts w:ascii="Times New Roman" w:eastAsia="Times New Roman" w:hAnsi="Times New Roman" w:cs="Times New Roman"/>
          <w:sz w:val="20"/>
          <w:szCs w:val="20"/>
        </w:rPr>
        <w:t xml:space="preserve"> and </w:t>
      </w:r>
      <w:r w:rsidRPr="005B5164">
        <w:rPr>
          <w:rFonts w:ascii="Times New Roman" w:eastAsia="Times New Roman" w:hAnsi="Times New Roman" w:cs="Times New Roman"/>
          <w:sz w:val="20"/>
          <w:szCs w:val="20"/>
        </w:rPr>
        <w:t>second segment</w:t>
      </w:r>
      <w:r w:rsidR="002808E4">
        <w:rPr>
          <w:rFonts w:ascii="Times New Roman" w:eastAsia="Times New Roman" w:hAnsi="Times New Roman" w:cs="Times New Roman"/>
          <w:sz w:val="20"/>
          <w:szCs w:val="20"/>
        </w:rPr>
        <w:t>s</w:t>
      </w:r>
      <w:r w:rsidRPr="005B5164">
        <w:rPr>
          <w:rFonts w:ascii="Times New Roman" w:eastAsia="Times New Roman" w:hAnsi="Times New Roman" w:cs="Times New Roman"/>
          <w:sz w:val="20"/>
          <w:szCs w:val="20"/>
        </w:rPr>
        <w:t xml:space="preserve"> (i.e., T1</w:t>
      </w:r>
      <w:r w:rsidR="002808E4">
        <w:rPr>
          <w:rFonts w:ascii="Times New Roman" w:eastAsia="Times New Roman" w:hAnsi="Times New Roman" w:cs="Times New Roman"/>
          <w:sz w:val="20"/>
          <w:szCs w:val="20"/>
        </w:rPr>
        <w:t>-</w:t>
      </w:r>
      <w:r w:rsidRPr="005B5164">
        <w:rPr>
          <w:rFonts w:ascii="Times New Roman" w:eastAsia="Times New Roman" w:hAnsi="Times New Roman" w:cs="Times New Roman"/>
          <w:sz w:val="20"/>
          <w:szCs w:val="20"/>
        </w:rPr>
        <w:t xml:space="preserve">T2, </w:t>
      </w:r>
      <w:r w:rsidR="002808E4">
        <w:rPr>
          <w:rFonts w:ascii="Times New Roman" w:eastAsia="Times New Roman" w:hAnsi="Times New Roman" w:cs="Times New Roman"/>
          <w:sz w:val="20"/>
          <w:szCs w:val="20"/>
        </w:rPr>
        <w:t>&amp;</w:t>
      </w:r>
      <w:r w:rsidRPr="005B5164">
        <w:rPr>
          <w:rFonts w:ascii="Times New Roman" w:eastAsia="Times New Roman" w:hAnsi="Times New Roman" w:cs="Times New Roman"/>
          <w:sz w:val="20"/>
          <w:szCs w:val="20"/>
        </w:rPr>
        <w:t xml:space="preserve"> T2</w:t>
      </w:r>
      <w:r w:rsidR="002808E4">
        <w:rPr>
          <w:rFonts w:ascii="Times New Roman" w:eastAsia="Times New Roman" w:hAnsi="Times New Roman" w:cs="Times New Roman"/>
          <w:sz w:val="20"/>
          <w:szCs w:val="20"/>
        </w:rPr>
        <w:t>-</w:t>
      </w:r>
      <w:r w:rsidRPr="005B5164">
        <w:rPr>
          <w:rFonts w:ascii="Times New Roman" w:eastAsia="Times New Roman" w:hAnsi="Times New Roman" w:cs="Times New Roman"/>
          <w:sz w:val="20"/>
          <w:szCs w:val="20"/>
        </w:rPr>
        <w:t>T3). Further, the third segment (i.e., T3</w:t>
      </w:r>
      <w:r w:rsidR="002808E4">
        <w:rPr>
          <w:rFonts w:ascii="Times New Roman" w:eastAsia="Times New Roman" w:hAnsi="Times New Roman" w:cs="Times New Roman"/>
          <w:sz w:val="20"/>
          <w:szCs w:val="20"/>
        </w:rPr>
        <w:t>-</w:t>
      </w:r>
      <w:r w:rsidRPr="005B5164">
        <w:rPr>
          <w:rFonts w:ascii="Times New Roman" w:eastAsia="Times New Roman" w:hAnsi="Times New Roman" w:cs="Times New Roman"/>
          <w:sz w:val="20"/>
          <w:szCs w:val="20"/>
        </w:rPr>
        <w:t>T4) of the framework provide answer to research question two.</w:t>
      </w:r>
    </w:p>
    <w:p w14:paraId="1EE829DA" w14:textId="27B07C83" w:rsidR="00B70B8D" w:rsidRPr="005B5164" w:rsidRDefault="00397AB8" w:rsidP="002808E4">
      <w:pPr>
        <w:autoSpaceDE w:val="0"/>
        <w:autoSpaceDN w:val="0"/>
        <w:adjustRightInd w:val="0"/>
        <w:spacing w:after="0" w:line="240" w:lineRule="auto"/>
        <w:ind w:leftChars="0" w:left="0" w:firstLineChars="0" w:firstLine="270"/>
        <w:jc w:val="both"/>
        <w:rPr>
          <w:rFonts w:ascii="Times New Roman" w:hAnsi="Times New Roman" w:cs="Times New Roman"/>
          <w:color w:val="000000"/>
          <w:sz w:val="20"/>
          <w:szCs w:val="20"/>
        </w:rPr>
      </w:pPr>
      <w:r w:rsidRPr="005B5164">
        <w:rPr>
          <w:rFonts w:ascii="Times New Roman" w:eastAsia="Times New Roman" w:hAnsi="Times New Roman" w:cs="Times New Roman"/>
          <w:sz w:val="20"/>
          <w:szCs w:val="20"/>
        </w:rPr>
        <w:t>At T1</w:t>
      </w:r>
      <w:r w:rsidR="00003376">
        <w:rPr>
          <w:rFonts w:ascii="Times New Roman" w:eastAsia="Times New Roman" w:hAnsi="Times New Roman" w:cs="Times New Roman"/>
          <w:sz w:val="20"/>
          <w:szCs w:val="20"/>
        </w:rPr>
        <w:t>-</w:t>
      </w:r>
      <w:r w:rsidRPr="005B5164">
        <w:rPr>
          <w:rFonts w:ascii="Times New Roman" w:eastAsia="Times New Roman" w:hAnsi="Times New Roman" w:cs="Times New Roman"/>
          <w:sz w:val="20"/>
          <w:szCs w:val="20"/>
        </w:rPr>
        <w:t>T2 of the framework, the students are coming into the university as freshers. Similarly, the artifactual structures (socio</w:t>
      </w:r>
      <w:r w:rsidRPr="005B5164">
        <w:rPr>
          <w:rFonts w:ascii="Times New Roman" w:eastAsia="Times New Roman" w:hAnsi="Times New Roman" w:cs="Times New Roman"/>
          <w:sz w:val="20"/>
          <w:szCs w:val="20"/>
        </w:rPr>
        <w:noBreakHyphen/>
        <w:t>technical structures) are all in place in the University for Dialogic Classroom Interaction. By contrast, it is recognized that socio</w:t>
      </w:r>
      <w:r w:rsidRPr="005B5164">
        <w:rPr>
          <w:rFonts w:ascii="Times New Roman" w:eastAsia="Times New Roman" w:hAnsi="Times New Roman" w:cs="Times New Roman"/>
          <w:sz w:val="20"/>
          <w:szCs w:val="20"/>
        </w:rPr>
        <w:noBreakHyphen/>
        <w:t>technical structures pre</w:t>
      </w:r>
      <w:r w:rsidRPr="005B5164">
        <w:rPr>
          <w:rFonts w:ascii="Times New Roman" w:eastAsia="Times New Roman" w:hAnsi="Times New Roman" w:cs="Times New Roman"/>
          <w:sz w:val="20"/>
          <w:szCs w:val="20"/>
        </w:rPr>
        <w:noBreakHyphen/>
        <w:t xml:space="preserve">date students’ enrolment into the university because the students meet those structures at the time of admission. In a quest to use digital technologies provided at higher educational institutions, there are affordances that a designer integrates into the </w:t>
      </w:r>
      <w:proofErr w:type="spellStart"/>
      <w:r w:rsidRPr="005B5164">
        <w:rPr>
          <w:rFonts w:ascii="Times New Roman" w:eastAsia="Times New Roman" w:hAnsi="Times New Roman" w:cs="Times New Roman"/>
          <w:sz w:val="20"/>
          <w:szCs w:val="20"/>
        </w:rPr>
        <w:t>EduTech</w:t>
      </w:r>
      <w:proofErr w:type="spellEnd"/>
      <w:r w:rsidRPr="005B5164">
        <w:rPr>
          <w:rFonts w:ascii="Times New Roman" w:eastAsia="Times New Roman" w:hAnsi="Times New Roman" w:cs="Times New Roman"/>
          <w:sz w:val="20"/>
          <w:szCs w:val="20"/>
        </w:rPr>
        <w:t xml:space="preserve">. These are structural, instructive, and functional affordances. According to </w:t>
      </w:r>
      <w:r w:rsidRPr="005B5164">
        <w:rPr>
          <w:rFonts w:ascii="Times New Roman" w:eastAsia="Times New Roman" w:hAnsi="Times New Roman" w:cs="Times New Roman"/>
          <w:sz w:val="20"/>
          <w:szCs w:val="20"/>
        </w:rPr>
        <w:fldChar w:fldCharType="begin"/>
      </w:r>
      <w:r w:rsidRPr="005B5164">
        <w:rPr>
          <w:rFonts w:ascii="Times New Roman" w:eastAsia="Times New Roman" w:hAnsi="Times New Roman" w:cs="Times New Roman"/>
          <w:sz w:val="20"/>
          <w:szCs w:val="20"/>
        </w:rPr>
        <w:instrText xml:space="preserve"> ADDIN EN.CITE &lt;EndNote&gt;&lt;Cite AuthorYear="1"&gt;&lt;Author&gt;Ditzler&lt;/Author&gt;&lt;Year&gt;2018&lt;/Year&gt;&lt;RecNum&gt;3132&lt;/RecNum&gt;&lt;Suffix&gt;`, p. 22&lt;/Suffix&gt;&lt;DisplayText&gt;Ditzler et al. (2018, p. 22)&lt;/DisplayText&gt;&lt;record&gt;&lt;rec-number&gt;3132&lt;/rec-number&gt;&lt;foreign-keys&gt;&lt;key app="EN" db-id="zazt0005c02a9aeaxpdv00p7tpexrpww9r0a" timestamp="1667476280"&gt;3132&lt;/key&gt;&lt;/foreign-keys&gt;&lt;ref-type name="Journal Article"&gt;17&lt;/ref-type&gt;&lt;contributors&gt;&lt;authors&gt;&lt;author&gt;Ditzler, Lenora&lt;/author&gt;&lt;author&gt;Klerkx, Laurens&lt;/author&gt;&lt;author&gt;Chan-Dentoni, Jacqueline&lt;/author&gt;&lt;author&gt;Posthumus, Helena&lt;/author&gt;&lt;author&gt;Krupnik, Timothy J&lt;/author&gt;&lt;author&gt;Ridaura, Santiago López&lt;/author&gt;&lt;author&gt;Andersson, Jens A&lt;/author&gt;&lt;author&gt;Baudron, Frédéric&lt;/author&gt;&lt;author&gt;Groot, Jeroen CJ&lt;/author&gt;&lt;/authors&gt;&lt;/contributors&gt;&lt;titles&gt;&lt;title&gt;Affordances of agricultural systems analysis tools: A review and framework to enhance tool design and implementation&lt;/title&gt;&lt;secondary-title&gt;Agricultural Systems&lt;/secondary-title&gt;&lt;/titles&gt;&lt;periodical&gt;&lt;full-title&gt;Agricultural Systems&lt;/full-title&gt;&lt;/periodical&gt;&lt;pages&gt;20-30&lt;/pages&gt;&lt;volume&gt;164&lt;/volume&gt;&lt;dates&gt;&lt;year&gt;2018&lt;/year&gt;&lt;/dates&gt;&lt;isbn&gt;0308-521X&lt;/isbn&gt;&lt;urls&gt;&lt;/urls&gt;&lt;/record&gt;&lt;/Cite&gt;&lt;/EndNote&gt;</w:instrText>
      </w:r>
      <w:r w:rsidRPr="005B5164">
        <w:rPr>
          <w:rFonts w:ascii="Times New Roman" w:eastAsia="Times New Roman" w:hAnsi="Times New Roman" w:cs="Times New Roman"/>
          <w:sz w:val="20"/>
          <w:szCs w:val="20"/>
        </w:rPr>
        <w:fldChar w:fldCharType="separate"/>
      </w:r>
      <w:r w:rsidRPr="005B5164">
        <w:rPr>
          <w:rFonts w:ascii="Times New Roman" w:eastAsia="Times New Roman" w:hAnsi="Times New Roman" w:cs="Times New Roman"/>
          <w:noProof/>
          <w:sz w:val="20"/>
          <w:szCs w:val="20"/>
        </w:rPr>
        <w:t>Ditzler et al. (2018, p. 22)</w:t>
      </w:r>
      <w:r w:rsidRPr="005B5164">
        <w:rPr>
          <w:rFonts w:ascii="Times New Roman" w:eastAsia="Times New Roman" w:hAnsi="Times New Roman" w:cs="Times New Roman"/>
          <w:sz w:val="20"/>
          <w:szCs w:val="20"/>
        </w:rPr>
        <w:fldChar w:fldCharType="end"/>
      </w:r>
      <w:r w:rsidRPr="005B5164">
        <w:rPr>
          <w:rFonts w:ascii="Times New Roman" w:eastAsia="Times New Roman" w:hAnsi="Times New Roman" w:cs="Times New Roman"/>
          <w:sz w:val="20"/>
          <w:szCs w:val="20"/>
        </w:rPr>
        <w:t xml:space="preserve">, “structural affordances are the object material features, properties, or capabilities of a tool.” In this context, the </w:t>
      </w:r>
      <w:proofErr w:type="spellStart"/>
      <w:r w:rsidRPr="005B5164">
        <w:rPr>
          <w:rFonts w:ascii="Times New Roman" w:eastAsia="Times New Roman" w:hAnsi="Times New Roman" w:cs="Times New Roman"/>
          <w:sz w:val="20"/>
          <w:szCs w:val="20"/>
        </w:rPr>
        <w:t>EduTech</w:t>
      </w:r>
      <w:proofErr w:type="spellEnd"/>
      <w:r w:rsidRPr="005B5164">
        <w:rPr>
          <w:rFonts w:ascii="Times New Roman" w:eastAsia="Times New Roman" w:hAnsi="Times New Roman" w:cs="Times New Roman"/>
          <w:sz w:val="20"/>
          <w:szCs w:val="20"/>
        </w:rPr>
        <w:t xml:space="preserve"> are design for dialogic classroom interaction that students can interact with. Meanwhile, </w:t>
      </w:r>
      <w:proofErr w:type="spellStart"/>
      <w:r w:rsidRPr="005B5164">
        <w:rPr>
          <w:rFonts w:ascii="Times New Roman" w:eastAsia="Times New Roman" w:hAnsi="Times New Roman" w:cs="Times New Roman"/>
          <w:sz w:val="20"/>
          <w:szCs w:val="20"/>
        </w:rPr>
        <w:t>EduTech</w:t>
      </w:r>
      <w:proofErr w:type="spellEnd"/>
      <w:r w:rsidRPr="005B5164">
        <w:rPr>
          <w:rFonts w:ascii="Times New Roman" w:eastAsia="Times New Roman" w:hAnsi="Times New Roman" w:cs="Times New Roman"/>
          <w:sz w:val="20"/>
          <w:szCs w:val="20"/>
        </w:rPr>
        <w:t xml:space="preserve">, in this case, have </w:t>
      </w:r>
      <w:r w:rsidRPr="005B5164">
        <w:rPr>
          <w:rFonts w:ascii="Times New Roman" w:eastAsia="Times New Roman" w:hAnsi="Times New Roman" w:cs="Times New Roman"/>
          <w:sz w:val="20"/>
          <w:szCs w:val="20"/>
        </w:rPr>
        <w:lastRenderedPageBreak/>
        <w:t xml:space="preserve">been in place before students enrolled into a university. The features and </w:t>
      </w:r>
      <w:r w:rsidRPr="005B5164">
        <w:rPr>
          <w:rFonts w:ascii="Times New Roman" w:eastAsia="Times New Roman" w:hAnsi="Times New Roman" w:cs="Times New Roman"/>
          <w:color w:val="000000"/>
          <w:sz w:val="20"/>
          <w:szCs w:val="20"/>
        </w:rPr>
        <w:t xml:space="preserve">affordances of </w:t>
      </w:r>
      <w:proofErr w:type="spellStart"/>
      <w:r w:rsidRPr="005B5164">
        <w:rPr>
          <w:rFonts w:ascii="Times New Roman" w:eastAsia="Times New Roman" w:hAnsi="Times New Roman" w:cs="Times New Roman"/>
          <w:color w:val="000000"/>
          <w:sz w:val="20"/>
          <w:szCs w:val="20"/>
        </w:rPr>
        <w:t>EduTech</w:t>
      </w:r>
      <w:proofErr w:type="spellEnd"/>
      <w:r w:rsidRPr="005B5164">
        <w:rPr>
          <w:rFonts w:ascii="Times New Roman" w:eastAsia="Times New Roman" w:hAnsi="Times New Roman" w:cs="Times New Roman"/>
          <w:color w:val="000000"/>
          <w:sz w:val="20"/>
          <w:szCs w:val="20"/>
        </w:rPr>
        <w:t xml:space="preserve"> create objective context for students, with structural, instructive, and functional affordances fed into time period T2</w:t>
      </w:r>
      <w:r w:rsidR="00003376">
        <w:rPr>
          <w:rFonts w:ascii="Times New Roman" w:eastAsia="Times New Roman" w:hAnsi="Times New Roman" w:cs="Times New Roman"/>
          <w:color w:val="000000"/>
          <w:sz w:val="20"/>
          <w:szCs w:val="20"/>
        </w:rPr>
        <w:t>-</w:t>
      </w:r>
      <w:r w:rsidRPr="005B5164">
        <w:rPr>
          <w:rFonts w:ascii="Times New Roman" w:eastAsia="Times New Roman" w:hAnsi="Times New Roman" w:cs="Times New Roman"/>
          <w:color w:val="000000"/>
          <w:sz w:val="20"/>
          <w:szCs w:val="20"/>
        </w:rPr>
        <w:t>T3, this serve as the first theme discovered in this study (</w:t>
      </w:r>
      <w:r w:rsidRPr="005B5164">
        <w:rPr>
          <w:rFonts w:ascii="Times New Roman" w:eastAsia="Times New Roman" w:hAnsi="Times New Roman" w:cs="Times New Roman"/>
          <w:b/>
          <w:bCs/>
          <w:color w:val="000000"/>
          <w:sz w:val="20"/>
          <w:szCs w:val="20"/>
        </w:rPr>
        <w:t>i.e., Educational Technological Affordances</w:t>
      </w:r>
      <w:r w:rsidRPr="005B5164">
        <w:rPr>
          <w:rFonts w:ascii="Times New Roman" w:eastAsia="Times New Roman" w:hAnsi="Times New Roman" w:cs="Times New Roman"/>
          <w:color w:val="000000"/>
          <w:sz w:val="20"/>
          <w:szCs w:val="20"/>
        </w:rPr>
        <w:t>). When these affordances are fed into time perio</w:t>
      </w:r>
      <w:r w:rsidR="00003376">
        <w:rPr>
          <w:rFonts w:ascii="Times New Roman" w:eastAsia="Times New Roman" w:hAnsi="Times New Roman" w:cs="Times New Roman"/>
          <w:color w:val="000000"/>
          <w:sz w:val="20"/>
          <w:szCs w:val="20"/>
        </w:rPr>
        <w:t>d T2</w:t>
      </w:r>
      <w:r w:rsidR="00003376">
        <w:rPr>
          <w:rFonts w:ascii="Times New Roman" w:eastAsia="Times New Roman" w:hAnsi="Times New Roman" w:cs="Times New Roman"/>
          <w:color w:val="000000"/>
          <w:sz w:val="20"/>
          <w:szCs w:val="20"/>
        </w:rPr>
        <w:noBreakHyphen/>
      </w:r>
      <w:r w:rsidRPr="005B5164">
        <w:rPr>
          <w:rFonts w:ascii="Times New Roman" w:eastAsia="Times New Roman" w:hAnsi="Times New Roman" w:cs="Times New Roman"/>
          <w:color w:val="000000"/>
          <w:sz w:val="20"/>
          <w:szCs w:val="20"/>
        </w:rPr>
        <w:t>T3, we may now analyze students</w:t>
      </w:r>
      <w:r w:rsidRPr="005B5164">
        <w:rPr>
          <w:rFonts w:ascii="Times New Roman" w:eastAsia="Times New Roman" w:hAnsi="Times New Roman" w:cs="Times New Roman"/>
          <w:color w:val="000000"/>
          <w:sz w:val="20"/>
          <w:szCs w:val="20"/>
        </w:rPr>
        <w:noBreakHyphen/>
        <w:t xml:space="preserve">teacher interacting with the digital technologies (example, learning management systems, </w:t>
      </w:r>
      <w:proofErr w:type="spellStart"/>
      <w:r w:rsidRPr="005B5164">
        <w:rPr>
          <w:rFonts w:ascii="Times New Roman" w:eastAsia="Times New Roman" w:hAnsi="Times New Roman" w:cs="Times New Roman"/>
          <w:color w:val="000000"/>
          <w:sz w:val="20"/>
          <w:szCs w:val="20"/>
        </w:rPr>
        <w:t>Talkwall</w:t>
      </w:r>
      <w:proofErr w:type="spellEnd"/>
      <w:r w:rsidRPr="005B5164">
        <w:rPr>
          <w:rFonts w:ascii="Times New Roman" w:eastAsia="Times New Roman" w:hAnsi="Times New Roman" w:cs="Times New Roman"/>
          <w:color w:val="000000"/>
          <w:sz w:val="20"/>
          <w:szCs w:val="20"/>
        </w:rPr>
        <w:t>, social media, etc.) in a particular environment (i.e., university)</w:t>
      </w:r>
      <w:r w:rsidR="00003376">
        <w:rPr>
          <w:rFonts w:ascii="Times New Roman" w:eastAsia="Times New Roman" w:hAnsi="Times New Roman" w:cs="Times New Roman"/>
          <w:color w:val="000000"/>
          <w:sz w:val="20"/>
          <w:szCs w:val="20"/>
        </w:rPr>
        <w:t xml:space="preserve"> referred to as</w:t>
      </w:r>
      <w:r w:rsidRPr="005B5164">
        <w:rPr>
          <w:rFonts w:ascii="Times New Roman" w:eastAsia="Times New Roman" w:hAnsi="Times New Roman" w:cs="Times New Roman"/>
          <w:b/>
          <w:bCs/>
          <w:color w:val="000000"/>
          <w:sz w:val="20"/>
          <w:szCs w:val="20"/>
        </w:rPr>
        <w:t xml:space="preserve"> Learning Contexts</w:t>
      </w:r>
      <w:r w:rsidRPr="005B5164">
        <w:rPr>
          <w:rFonts w:ascii="Times New Roman" w:eastAsia="Times New Roman" w:hAnsi="Times New Roman" w:cs="Times New Roman"/>
          <w:color w:val="000000"/>
          <w:sz w:val="20"/>
          <w:szCs w:val="20"/>
        </w:rPr>
        <w:t xml:space="preserve">. </w:t>
      </w:r>
      <w:r w:rsidRPr="005B5164">
        <w:rPr>
          <w:rFonts w:ascii="Times New Roman" w:hAnsi="Times New Roman" w:cs="Times New Roman"/>
          <w:color w:val="000000"/>
          <w:sz w:val="20"/>
          <w:szCs w:val="20"/>
        </w:rPr>
        <w:t>During the interaction, the mechanisms triggering the interaction process, when it comes to people emergent properties (PEP), are reflexivity, manipulation, exploration, and sense</w:t>
      </w:r>
      <w:r w:rsidRPr="005B5164">
        <w:rPr>
          <w:rFonts w:ascii="Times New Roman" w:hAnsi="Times New Roman" w:cs="Times New Roman"/>
          <w:color w:val="000000"/>
          <w:sz w:val="20"/>
          <w:szCs w:val="20"/>
        </w:rPr>
        <w:noBreakHyphen/>
        <w:t>making. For the structural emergent properties (SEP), it comprises of IT affordances, institution, political, and legal structures that trigger the interaction process. While the cultural system of a particular university are the cultural emergent properties (CEP) that trigger the interaction between students</w:t>
      </w:r>
      <w:r w:rsidRPr="005B5164">
        <w:rPr>
          <w:rFonts w:ascii="Times New Roman" w:hAnsi="Times New Roman" w:cs="Times New Roman"/>
          <w:color w:val="000000"/>
          <w:sz w:val="20"/>
          <w:szCs w:val="20"/>
        </w:rPr>
        <w:noBreakHyphen/>
        <w:t>teachers, which is dialogic interaction and possibly acquiring a l</w:t>
      </w:r>
      <w:r w:rsidR="00003376">
        <w:rPr>
          <w:rFonts w:ascii="Times New Roman" w:hAnsi="Times New Roman" w:cs="Times New Roman"/>
          <w:color w:val="000000"/>
          <w:sz w:val="20"/>
          <w:szCs w:val="20"/>
        </w:rPr>
        <w:t>aptop over the time period T2-</w:t>
      </w:r>
      <w:r w:rsidRPr="005B5164">
        <w:rPr>
          <w:rFonts w:ascii="Times New Roman" w:hAnsi="Times New Roman" w:cs="Times New Roman"/>
          <w:color w:val="000000"/>
          <w:sz w:val="20"/>
          <w:szCs w:val="20"/>
        </w:rPr>
        <w:t>T3 as the last theme identified in this study (</w:t>
      </w:r>
      <w:r w:rsidRPr="005B5164">
        <w:rPr>
          <w:rFonts w:ascii="Times New Roman" w:hAnsi="Times New Roman" w:cs="Times New Roman"/>
          <w:b/>
          <w:bCs/>
          <w:color w:val="000000"/>
          <w:sz w:val="20"/>
          <w:szCs w:val="20"/>
        </w:rPr>
        <w:t>i.e., Dialogic Activities</w:t>
      </w:r>
      <w:r w:rsidRPr="005B5164">
        <w:rPr>
          <w:rFonts w:ascii="Times New Roman" w:hAnsi="Times New Roman" w:cs="Times New Roman"/>
          <w:color w:val="000000"/>
          <w:sz w:val="20"/>
          <w:szCs w:val="20"/>
        </w:rPr>
        <w:t>). As students</w:t>
      </w:r>
      <w:r w:rsidRPr="005B5164">
        <w:rPr>
          <w:rFonts w:ascii="Times New Roman" w:hAnsi="Times New Roman" w:cs="Times New Roman"/>
          <w:color w:val="000000"/>
          <w:sz w:val="20"/>
          <w:szCs w:val="20"/>
        </w:rPr>
        <w:noBreakHyphen/>
        <w:t>teachers involve in constant interaction with digital technologies at time period T2</w:t>
      </w:r>
      <w:r w:rsidR="00003376">
        <w:rPr>
          <w:rFonts w:ascii="Times New Roman" w:hAnsi="Times New Roman" w:cs="Times New Roman"/>
          <w:color w:val="000000"/>
          <w:sz w:val="20"/>
          <w:szCs w:val="20"/>
        </w:rPr>
        <w:t>-</w:t>
      </w:r>
      <w:r w:rsidRPr="005B5164">
        <w:rPr>
          <w:rFonts w:ascii="Times New Roman" w:hAnsi="Times New Roman" w:cs="Times New Roman"/>
          <w:color w:val="000000"/>
          <w:sz w:val="20"/>
          <w:szCs w:val="20"/>
        </w:rPr>
        <w:t xml:space="preserve">T3, while user enactment of </w:t>
      </w:r>
      <w:r w:rsidRPr="005B5164">
        <w:rPr>
          <w:rFonts w:ascii="Times New Roman" w:hAnsi="Times New Roman" w:cs="Times New Roman"/>
          <w:sz w:val="20"/>
          <w:szCs w:val="20"/>
        </w:rPr>
        <w:t>affordance processes is going on, ‘Epistemological Access’ can be gained as the overarching theme (</w:t>
      </w:r>
      <w:r w:rsidRPr="005B5164">
        <w:rPr>
          <w:rFonts w:ascii="Times New Roman" w:hAnsi="Times New Roman" w:cs="Times New Roman"/>
          <w:b/>
          <w:bCs/>
          <w:sz w:val="20"/>
          <w:szCs w:val="20"/>
        </w:rPr>
        <w:t>i.e., phenomenon</w:t>
      </w:r>
      <w:r w:rsidRPr="005B5164">
        <w:rPr>
          <w:rFonts w:ascii="Times New Roman" w:hAnsi="Times New Roman" w:cs="Times New Roman"/>
          <w:sz w:val="20"/>
          <w:szCs w:val="20"/>
        </w:rPr>
        <w:t>). When the epistem</w:t>
      </w:r>
      <w:r w:rsidR="00003376">
        <w:rPr>
          <w:rFonts w:ascii="Times New Roman" w:hAnsi="Times New Roman" w:cs="Times New Roman"/>
          <w:sz w:val="20"/>
          <w:szCs w:val="20"/>
        </w:rPr>
        <w:t>ological access is gained in</w:t>
      </w:r>
      <w:r w:rsidRPr="005B5164">
        <w:rPr>
          <w:rFonts w:ascii="Times New Roman" w:hAnsi="Times New Roman" w:cs="Times New Roman"/>
          <w:sz w:val="20"/>
          <w:szCs w:val="20"/>
        </w:rPr>
        <w:t xml:space="preserve"> higher education institution using digital technologies, there will be students’ change, change in the technology and change in the culture at time period T3</w:t>
      </w:r>
      <w:r w:rsidR="00003376">
        <w:rPr>
          <w:rFonts w:ascii="Times New Roman" w:hAnsi="Times New Roman" w:cs="Times New Roman"/>
          <w:sz w:val="20"/>
          <w:szCs w:val="20"/>
        </w:rPr>
        <w:t>-</w:t>
      </w:r>
      <w:r w:rsidRPr="005B5164">
        <w:rPr>
          <w:rFonts w:ascii="Times New Roman" w:hAnsi="Times New Roman" w:cs="Times New Roman"/>
          <w:sz w:val="20"/>
          <w:szCs w:val="20"/>
        </w:rPr>
        <w:t xml:space="preserve">T4. Meanwhile, they have undergone changes and </w:t>
      </w:r>
      <w:r w:rsidRPr="005B5164">
        <w:rPr>
          <w:rFonts w:ascii="Times New Roman" w:eastAsia="Times New Roman" w:hAnsi="Times New Roman" w:cs="Times New Roman"/>
          <w:sz w:val="20"/>
          <w:szCs w:val="20"/>
        </w:rPr>
        <w:t xml:space="preserve">metamorphose into something else, a transformational affordance has been achieved. Archer referred to structural elaboration ‘morphogenesis’ </w:t>
      </w:r>
      <w:r w:rsidRPr="005B5164">
        <w:rPr>
          <w:rFonts w:ascii="Times New Roman" w:eastAsia="Times New Roman" w:hAnsi="Times New Roman" w:cs="Times New Roman"/>
          <w:sz w:val="20"/>
          <w:szCs w:val="20"/>
        </w:rPr>
        <w:fldChar w:fldCharType="begin"/>
      </w:r>
      <w:r w:rsidRPr="005B5164">
        <w:rPr>
          <w:rFonts w:ascii="Times New Roman" w:eastAsia="Times New Roman" w:hAnsi="Times New Roman" w:cs="Times New Roman"/>
          <w:sz w:val="20"/>
          <w:szCs w:val="20"/>
        </w:rPr>
        <w:instrText xml:space="preserve"> ADDIN EN.CITE &lt;EndNote&gt;&lt;Cite&gt;&lt;Author&gt;Archer&lt;/Author&gt;&lt;Year&gt;1995&lt;/Year&gt;&lt;RecNum&gt;352&lt;/RecNum&gt;&lt;DisplayText&gt;(Archer, 1995)&lt;/DisplayText&gt;&lt;record&gt;&lt;rec-number&gt;352&lt;/rec-number&gt;&lt;foreign-keys&gt;&lt;key app="EN" db-id="zazt0005c02a9aeaxpdv00p7tpexrpww9r0a" timestamp="1652017545"&gt;352&lt;/key&gt;&lt;/foreign-keys&gt;&lt;ref-type name="Book"&gt;6&lt;/ref-type&gt;&lt;contributors&gt;&lt;authors&gt;&lt;author&gt;Archer, Margaret Scotford&lt;/author&gt;&lt;/authors&gt;&lt;/contributors&gt;&lt;titles&gt;&lt;title&gt;Realist social theory: The morphogenetic approach&lt;/title&gt;&lt;/titles&gt;&lt;dates&gt;&lt;year&gt;1995&lt;/year&gt;&lt;/dates&gt;&lt;publisher&gt;Cambridge university press&lt;/publisher&gt;&lt;isbn&gt;0521484421&lt;/isbn&gt;&lt;urls&gt;&lt;/urls&gt;&lt;/record&gt;&lt;/Cite&gt;&lt;/EndNote&gt;</w:instrText>
      </w:r>
      <w:r w:rsidRPr="005B5164">
        <w:rPr>
          <w:rFonts w:ascii="Times New Roman" w:eastAsia="Times New Roman" w:hAnsi="Times New Roman" w:cs="Times New Roman"/>
          <w:sz w:val="20"/>
          <w:szCs w:val="20"/>
        </w:rPr>
        <w:fldChar w:fldCharType="separate"/>
      </w:r>
      <w:r w:rsidRPr="005B5164">
        <w:rPr>
          <w:rFonts w:ascii="Times New Roman" w:eastAsia="Times New Roman" w:hAnsi="Times New Roman" w:cs="Times New Roman"/>
          <w:noProof/>
          <w:sz w:val="20"/>
          <w:szCs w:val="20"/>
        </w:rPr>
        <w:t>(Archer, 1995)</w:t>
      </w:r>
      <w:r w:rsidRPr="005B5164">
        <w:rPr>
          <w:rFonts w:ascii="Times New Roman" w:eastAsia="Times New Roman" w:hAnsi="Times New Roman" w:cs="Times New Roman"/>
          <w:sz w:val="20"/>
          <w:szCs w:val="20"/>
        </w:rPr>
        <w:fldChar w:fldCharType="end"/>
      </w:r>
      <w:r w:rsidRPr="005B5164">
        <w:rPr>
          <w:rFonts w:ascii="Times New Roman" w:eastAsia="Times New Roman" w:hAnsi="Times New Roman" w:cs="Times New Roman"/>
          <w:sz w:val="20"/>
          <w:szCs w:val="20"/>
        </w:rPr>
        <w:t xml:space="preserve">. But if the change has not occurred (i.e., </w:t>
      </w:r>
      <w:proofErr w:type="spellStart"/>
      <w:r w:rsidRPr="005B5164">
        <w:rPr>
          <w:rFonts w:ascii="Times New Roman" w:eastAsia="Times New Roman" w:hAnsi="Times New Roman" w:cs="Times New Roman"/>
          <w:sz w:val="20"/>
          <w:szCs w:val="20"/>
        </w:rPr>
        <w:t>morphostasis</w:t>
      </w:r>
      <w:proofErr w:type="spellEnd"/>
      <w:r w:rsidRPr="005B5164">
        <w:rPr>
          <w:rFonts w:ascii="Times New Roman" w:eastAsia="Times New Roman" w:hAnsi="Times New Roman" w:cs="Times New Roman"/>
          <w:sz w:val="20"/>
          <w:szCs w:val="20"/>
        </w:rPr>
        <w:t>) where students, teachers face some challenges of either digital technology, institutional, political/legal challenges, epistemological access has not been achieved, as such T3</w:t>
      </w:r>
      <w:r w:rsidR="00003376">
        <w:rPr>
          <w:rFonts w:ascii="Times New Roman" w:eastAsia="Times New Roman" w:hAnsi="Times New Roman" w:cs="Times New Roman"/>
          <w:sz w:val="20"/>
          <w:szCs w:val="20"/>
        </w:rPr>
        <w:t>-</w:t>
      </w:r>
      <w:r w:rsidRPr="005B5164">
        <w:rPr>
          <w:rFonts w:ascii="Times New Roman" w:eastAsia="Times New Roman" w:hAnsi="Times New Roman" w:cs="Times New Roman"/>
          <w:sz w:val="20"/>
          <w:szCs w:val="20"/>
        </w:rPr>
        <w:t xml:space="preserve">T4 will now become T1. </w:t>
      </w:r>
    </w:p>
    <w:p w14:paraId="4B9A5F18" w14:textId="77777777" w:rsidR="00B70B8D" w:rsidRPr="005B5164" w:rsidRDefault="00397AB8" w:rsidP="005977F2">
      <w:pPr>
        <w:tabs>
          <w:tab w:val="left" w:pos="2475"/>
        </w:tabs>
        <w:autoSpaceDE w:val="0"/>
        <w:autoSpaceDN w:val="0"/>
        <w:adjustRightInd w:val="0"/>
        <w:spacing w:after="0" w:line="240" w:lineRule="auto"/>
        <w:ind w:leftChars="0" w:left="0" w:firstLineChars="0" w:firstLine="0"/>
        <w:jc w:val="both"/>
        <w:rPr>
          <w:rFonts w:ascii="Times New Roman" w:hAnsi="Times New Roman" w:cs="Times New Roman"/>
          <w:color w:val="000000"/>
          <w:sz w:val="20"/>
          <w:szCs w:val="20"/>
        </w:rPr>
      </w:pPr>
      <w:r w:rsidRPr="005B5164">
        <w:rPr>
          <w:rFonts w:ascii="Times New Roman" w:hAnsi="Times New Roman" w:cs="Times New Roman"/>
          <w:noProof/>
          <w:sz w:val="20"/>
          <w:szCs w:val="20"/>
        </w:rPr>
        <w:drawing>
          <wp:inline distT="0" distB="0" distL="0" distR="0" wp14:anchorId="48A7AD26" wp14:editId="08F0B5A7">
            <wp:extent cx="6381750" cy="2703443"/>
            <wp:effectExtent l="0" t="0" r="0" b="1905"/>
            <wp:docPr id="103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pic:nvPicPr>
                  <pic:blipFill rotWithShape="1">
                    <a:blip r:embed="rId20" cstate="print">
                      <a:extLst>
                        <a:ext uri="{28A0092B-C50C-407E-A947-70E740481C1C}">
                          <a14:useLocalDpi xmlns:a14="http://schemas.microsoft.com/office/drawing/2010/main" val="0"/>
                        </a:ext>
                      </a:extLst>
                    </a:blip>
                    <a:srcRect l="19803" t="29123" r="23344" b="14899"/>
                    <a:stretch>
                      <a:fillRect/>
                    </a:stretch>
                  </pic:blipFill>
                  <pic:spPr>
                    <a:xfrm>
                      <a:off x="0" y="0"/>
                      <a:ext cx="6387862" cy="2706032"/>
                    </a:xfrm>
                    <a:prstGeom prst="rect">
                      <a:avLst/>
                    </a:prstGeom>
                  </pic:spPr>
                </pic:pic>
              </a:graphicData>
            </a:graphic>
          </wp:inline>
        </w:drawing>
      </w:r>
    </w:p>
    <w:p w14:paraId="7C3EFFD2" w14:textId="77777777" w:rsidR="00B70B8D" w:rsidRPr="005B5164" w:rsidRDefault="00397AB8" w:rsidP="005977F2">
      <w:pPr>
        <w:spacing w:after="0" w:line="240" w:lineRule="auto"/>
        <w:ind w:leftChars="0" w:left="0" w:firstLineChars="0" w:firstLine="0"/>
        <w:jc w:val="center"/>
        <w:rPr>
          <w:rFonts w:ascii="Times New Roman" w:hAnsi="Times New Roman" w:cs="Times New Roman"/>
          <w:i/>
          <w:sz w:val="20"/>
          <w:szCs w:val="20"/>
        </w:rPr>
      </w:pPr>
      <w:r w:rsidRPr="005B5164">
        <w:rPr>
          <w:rFonts w:ascii="Times New Roman" w:hAnsi="Times New Roman" w:cs="Times New Roman"/>
          <w:b/>
          <w:bCs/>
          <w:i/>
          <w:sz w:val="20"/>
          <w:szCs w:val="20"/>
        </w:rPr>
        <w:t xml:space="preserve">Figure 7: </w:t>
      </w:r>
      <w:r w:rsidRPr="005B5164">
        <w:rPr>
          <w:rFonts w:ascii="Times New Roman" w:hAnsi="Times New Roman" w:cs="Times New Roman"/>
          <w:i/>
          <w:sz w:val="20"/>
          <w:szCs w:val="20"/>
        </w:rPr>
        <w:t>Theoretical framework of educational technology affordances and epistemological access. Source (Authors)</w:t>
      </w:r>
    </w:p>
    <w:p w14:paraId="17E90EE8" w14:textId="77777777" w:rsidR="00B70B8D" w:rsidRPr="00003376" w:rsidRDefault="00B70B8D" w:rsidP="005977F2">
      <w:pPr>
        <w:autoSpaceDE w:val="0"/>
        <w:autoSpaceDN w:val="0"/>
        <w:adjustRightInd w:val="0"/>
        <w:spacing w:after="0" w:line="240" w:lineRule="auto"/>
        <w:ind w:leftChars="0" w:left="0" w:firstLineChars="0" w:firstLine="0"/>
        <w:jc w:val="both"/>
        <w:rPr>
          <w:rFonts w:ascii="Times New Roman" w:hAnsi="Times New Roman" w:cs="Times New Roman"/>
          <w:b/>
          <w:bCs/>
          <w:sz w:val="2"/>
          <w:szCs w:val="20"/>
        </w:rPr>
      </w:pPr>
    </w:p>
    <w:p w14:paraId="62ED983F" w14:textId="77777777" w:rsidR="00B70B8D" w:rsidRPr="005977F2" w:rsidRDefault="00397AB8" w:rsidP="005977F2">
      <w:pPr>
        <w:autoSpaceDE w:val="0"/>
        <w:autoSpaceDN w:val="0"/>
        <w:adjustRightInd w:val="0"/>
        <w:spacing w:before="240" w:after="0" w:line="240" w:lineRule="auto"/>
        <w:ind w:leftChars="0" w:left="0" w:firstLineChars="0" w:firstLine="0"/>
        <w:jc w:val="both"/>
        <w:rPr>
          <w:rFonts w:ascii="Times New Roman" w:hAnsi="Times New Roman" w:cs="Times New Roman"/>
          <w:b/>
          <w:bCs/>
          <w:sz w:val="24"/>
          <w:szCs w:val="24"/>
        </w:rPr>
      </w:pPr>
      <w:r w:rsidRPr="005977F2">
        <w:rPr>
          <w:rFonts w:ascii="Times New Roman" w:hAnsi="Times New Roman" w:cs="Times New Roman"/>
          <w:b/>
          <w:bCs/>
          <w:sz w:val="24"/>
          <w:szCs w:val="24"/>
        </w:rPr>
        <w:t>Discussion</w:t>
      </w:r>
    </w:p>
    <w:p w14:paraId="4FF68B0B" w14:textId="77777777" w:rsidR="00B70B8D" w:rsidRPr="005B5164" w:rsidRDefault="00397AB8" w:rsidP="001D5113">
      <w:pPr>
        <w:pStyle w:val="NormalWeb"/>
        <w:spacing w:before="0" w:beforeAutospacing="0" w:after="0" w:afterAutospacing="0"/>
        <w:ind w:firstLine="270"/>
        <w:jc w:val="both"/>
        <w:rPr>
          <w:sz w:val="20"/>
          <w:szCs w:val="20"/>
        </w:rPr>
      </w:pPr>
      <w:r w:rsidRPr="005B5164">
        <w:rPr>
          <w:sz w:val="20"/>
          <w:szCs w:val="20"/>
        </w:rPr>
        <w:t>A systematic literature review was conducted, analyzing 69 studies to address two research questions regarding the use of digital technologies for education in sub-Saharan African universities. The questions focused on the affordances of digital technologies for marginalized groups’ epistemological access and the challenges hindering such access. The goal was to map peer-reviewed studies from 2012 to 2022 and assess the potential and limitations of digital technology in improving classroom interaction. The discussion outlines issues identified in existing research and extends to thematic and sub-thematic considerations, suggesting avenues for further study stimulated by the systematic review.</w:t>
      </w:r>
    </w:p>
    <w:p w14:paraId="4040FCE3" w14:textId="67BFD597" w:rsidR="00B70B8D" w:rsidRPr="005B5164" w:rsidRDefault="00397AB8" w:rsidP="005977F2">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sidRPr="005B5164">
        <w:rPr>
          <w:rFonts w:ascii="Times New Roman" w:hAnsi="Times New Roman" w:cs="Times New Roman"/>
          <w:sz w:val="20"/>
          <w:szCs w:val="20"/>
        </w:rPr>
        <w:t>The study further discusses the search process and findings of a systematic review on digital technology in education, highlighting several key points. Firstly, it notes a prevalence of studies in information systems education, possibly due to a focus on argumentation and reasoning in scientific inquiry. Secondly, there is a scarcity of studies from sub-Saharan Africa, potentially influenced by the narrow range of technologies studied, leading to a bias towards regions with higher adoption rates. Additionally, many digital technologies used in education were initially developed for other purposes. Overall, the studies identified vary in their aims, scope, and theoretical framing, but many are influenced by sociocultural perspectives emphasizing the role of digital technologies in individuals’ relationships with their surroundings.</w:t>
      </w:r>
    </w:p>
    <w:p w14:paraId="18326CC7" w14:textId="6A01533C" w:rsidR="00B70B8D" w:rsidRPr="005B5164" w:rsidRDefault="00397AB8" w:rsidP="001D5113">
      <w:pPr>
        <w:pStyle w:val="NormalWeb"/>
        <w:spacing w:before="0" w:beforeAutospacing="0" w:after="0" w:afterAutospacing="0"/>
        <w:ind w:firstLine="270"/>
        <w:jc w:val="both"/>
        <w:rPr>
          <w:sz w:val="20"/>
          <w:szCs w:val="20"/>
        </w:rPr>
      </w:pPr>
      <w:r w:rsidRPr="005B5164">
        <w:rPr>
          <w:sz w:val="20"/>
          <w:szCs w:val="20"/>
        </w:rPr>
        <w:lastRenderedPageBreak/>
        <w:t xml:space="preserve">The </w:t>
      </w:r>
      <w:r w:rsidR="00713FD9">
        <w:rPr>
          <w:sz w:val="20"/>
          <w:szCs w:val="20"/>
        </w:rPr>
        <w:t xml:space="preserve">study </w:t>
      </w:r>
      <w:r w:rsidRPr="005B5164">
        <w:rPr>
          <w:sz w:val="20"/>
          <w:szCs w:val="20"/>
        </w:rPr>
        <w:t xml:space="preserve">delves into the interdependence of learning components, emphasizing the sociocultural viewpoint that considers how tools, both mental and material, are used in human activity to generate knowledge. It notes that while new digital technologies may not inherently improve learning, they can significantly impact engagement. The thematic synthesis identifies themes around digital technology affordance and dialogic interactions, highlighting their role in gaining epistemological access. The concept of affordance is explored, emphasizing the importance of aligning technology use with educational goals. The </w:t>
      </w:r>
      <w:r w:rsidR="00713FD9">
        <w:rPr>
          <w:sz w:val="20"/>
          <w:szCs w:val="20"/>
        </w:rPr>
        <w:t>study</w:t>
      </w:r>
      <w:r w:rsidRPr="005B5164">
        <w:rPr>
          <w:sz w:val="20"/>
          <w:szCs w:val="20"/>
        </w:rPr>
        <w:t xml:space="preserve"> concludes by advocating for collaboration between experts, designers, teachers, researchers, and students to fully explore the potential of digital technology in enhancing learning.</w:t>
      </w:r>
    </w:p>
    <w:p w14:paraId="6183DFBD" w14:textId="77777777" w:rsidR="00B70B8D" w:rsidRPr="005977F2" w:rsidRDefault="00397AB8" w:rsidP="005977F2">
      <w:pPr>
        <w:pStyle w:val="root-block-node"/>
        <w:spacing w:before="240" w:beforeAutospacing="0" w:after="0" w:afterAutospacing="0"/>
        <w:jc w:val="both"/>
      </w:pPr>
      <w:r w:rsidRPr="005977F2">
        <w:rPr>
          <w:rStyle w:val="Strong"/>
        </w:rPr>
        <w:t>Conclusion</w:t>
      </w:r>
    </w:p>
    <w:p w14:paraId="1B2B4083" w14:textId="4FE31C75" w:rsidR="00B70B8D" w:rsidRPr="005B5164" w:rsidRDefault="00397AB8" w:rsidP="001D5113">
      <w:pPr>
        <w:pStyle w:val="NormalWeb"/>
        <w:spacing w:before="0" w:beforeAutospacing="0" w:after="0" w:afterAutospacing="0"/>
        <w:ind w:firstLine="270"/>
        <w:jc w:val="both"/>
        <w:rPr>
          <w:sz w:val="20"/>
          <w:szCs w:val="20"/>
        </w:rPr>
      </w:pPr>
      <w:r w:rsidRPr="005B5164">
        <w:rPr>
          <w:sz w:val="20"/>
          <w:szCs w:val="20"/>
        </w:rPr>
        <w:t>The study aimed to understand how marginalized groups can access epistemological knowledge in higher institutions, particularly in sub-Saharan Africa. This was achieved through two main approaches: conducting a systematic literature review on digital technologies and developing a theoretical framework. The review highlighted a gap in existing research, which often focused on technology or students separately, rather than their integrated interactions for achieving epistemological access. The synthesized theoretical framework offers an integrated perspective on how structural and cultural systems of students and digital technology can interact to facilitate epistemic access. Additionally, it addresses gaps such as the influence of e-learning management systems on faculty during dialogic interaction. The framework not only provides new research avenues in the information systems domain but also serves as inspiration for future empirical testing in higher educational institutions globally.</w:t>
      </w:r>
    </w:p>
    <w:p w14:paraId="655695D0" w14:textId="77777777" w:rsidR="00B70B8D" w:rsidRPr="005977F2" w:rsidRDefault="00397AB8" w:rsidP="005977F2">
      <w:pPr>
        <w:spacing w:before="240" w:after="0" w:line="240" w:lineRule="auto"/>
        <w:ind w:leftChars="0" w:left="0" w:firstLineChars="0" w:firstLine="0"/>
        <w:jc w:val="both"/>
        <w:rPr>
          <w:rFonts w:ascii="Times New Roman" w:hAnsi="Times New Roman" w:cs="Times New Roman"/>
          <w:b/>
          <w:bCs/>
          <w:sz w:val="24"/>
          <w:szCs w:val="24"/>
        </w:rPr>
      </w:pPr>
      <w:r w:rsidRPr="005977F2">
        <w:rPr>
          <w:rFonts w:ascii="Times New Roman" w:hAnsi="Times New Roman" w:cs="Times New Roman"/>
          <w:b/>
          <w:bCs/>
          <w:sz w:val="24"/>
          <w:szCs w:val="24"/>
        </w:rPr>
        <w:t>Recommendations</w:t>
      </w:r>
    </w:p>
    <w:p w14:paraId="45BE3D8E" w14:textId="0A476AAD" w:rsidR="00B70B8D" w:rsidRPr="005B5164" w:rsidRDefault="00397AB8" w:rsidP="001D5113">
      <w:pPr>
        <w:spacing w:after="0" w:line="240" w:lineRule="auto"/>
        <w:ind w:leftChars="0" w:left="0" w:firstLineChars="0" w:firstLine="270"/>
        <w:jc w:val="both"/>
        <w:rPr>
          <w:rFonts w:ascii="Times New Roman" w:eastAsia="Times New Roman" w:hAnsi="Times New Roman" w:cs="Times New Roman"/>
          <w:sz w:val="20"/>
          <w:szCs w:val="20"/>
        </w:rPr>
      </w:pPr>
      <w:r w:rsidRPr="005B5164">
        <w:rPr>
          <w:rFonts w:ascii="Times New Roman" w:hAnsi="Times New Roman" w:cs="Times New Roman"/>
          <w:sz w:val="20"/>
          <w:szCs w:val="20"/>
        </w:rPr>
        <w:t>Based on the findings of this study, h</w:t>
      </w:r>
      <w:r w:rsidRPr="005B5164">
        <w:rPr>
          <w:rFonts w:ascii="Times New Roman" w:eastAsia="Times New Roman" w:hAnsi="Times New Roman" w:cs="Times New Roman"/>
          <w:sz w:val="20"/>
          <w:szCs w:val="20"/>
        </w:rPr>
        <w:t>igher institutions should develop and implement an integrated digital learning platform that consolidates user educational resources, digital academic communication, research and innovation, remote learning, virtual engagement, digital libraries, and inclusive digital education. This platform should be user-friendly, ensuring seamless navigation and accessibility for underprivileged students. Universit</w:t>
      </w:r>
      <w:r w:rsidR="00713FD9">
        <w:rPr>
          <w:rFonts w:ascii="Times New Roman" w:eastAsia="Times New Roman" w:hAnsi="Times New Roman" w:cs="Times New Roman"/>
          <w:sz w:val="20"/>
          <w:szCs w:val="20"/>
        </w:rPr>
        <w:t>ies</w:t>
      </w:r>
      <w:r w:rsidRPr="005B5164">
        <w:rPr>
          <w:rFonts w:ascii="Times New Roman" w:eastAsia="Times New Roman" w:hAnsi="Times New Roman" w:cs="Times New Roman"/>
          <w:sz w:val="20"/>
          <w:szCs w:val="20"/>
        </w:rPr>
        <w:t xml:space="preserve"> should invest in user</w:t>
      </w:r>
      <w:r w:rsidRPr="005B5164">
        <w:rPr>
          <w:rFonts w:ascii="Times New Roman" w:eastAsia="Times New Roman" w:hAnsi="Times New Roman" w:cs="Times New Roman"/>
          <w:sz w:val="20"/>
          <w:szCs w:val="20"/>
        </w:rPr>
        <w:noBreakHyphen/>
        <w:t>centric design principles to enhance the usability of digital technologies for underprivileged students. Prioritize user friendly design, optimizing outcomes, and adaptive flexibility in the development and deployment of digital tools. Solicit regular feedback from underprivileged students to iteratively improve the user interface and overall usability of digital platforms.</w:t>
      </w:r>
      <w:r w:rsidRPr="005B5164">
        <w:rPr>
          <w:rFonts w:ascii="Times New Roman" w:eastAsia="Times New Roman" w:hAnsi="Times New Roman" w:cs="Times New Roman"/>
          <w:b/>
          <w:bCs/>
          <w:sz w:val="20"/>
          <w:szCs w:val="20"/>
        </w:rPr>
        <w:t xml:space="preserve"> </w:t>
      </w:r>
      <w:r w:rsidRPr="005B5164">
        <w:rPr>
          <w:rFonts w:ascii="Times New Roman" w:eastAsia="Times New Roman" w:hAnsi="Times New Roman" w:cs="Times New Roman"/>
          <w:bCs/>
          <w:sz w:val="20"/>
          <w:szCs w:val="20"/>
        </w:rPr>
        <w:t>Universities in Nigeria</w:t>
      </w:r>
      <w:r w:rsidRPr="005B5164">
        <w:rPr>
          <w:rFonts w:ascii="Times New Roman" w:eastAsia="Times New Roman" w:hAnsi="Times New Roman" w:cs="Times New Roman"/>
          <w:sz w:val="20"/>
          <w:szCs w:val="20"/>
        </w:rPr>
        <w:t xml:space="preserve"> should implement educational strategies that capitalize on the identified transformational changes associated with underprivileged students’ interaction with digital technologies. Foster personalized learning experiences, encourage global collaboration and connectivity, integrate holistic learning and skills development, and promote inclusivity and global education. This may involve the development of tailored programs, mentorship opportunities, and collaborative projects that leverage digital technologies.</w:t>
      </w:r>
    </w:p>
    <w:p w14:paraId="2E4C4721" w14:textId="77777777" w:rsidR="00B70B8D" w:rsidRPr="005B5164" w:rsidRDefault="00397AB8" w:rsidP="005977F2">
      <w:pPr>
        <w:spacing w:after="0" w:line="240" w:lineRule="auto"/>
        <w:ind w:leftChars="0" w:left="0" w:firstLineChars="0" w:firstLine="0"/>
        <w:jc w:val="both"/>
        <w:rPr>
          <w:rFonts w:ascii="Times New Roman" w:hAnsi="Times New Roman" w:cs="Times New Roman"/>
          <w:b/>
          <w:bCs/>
          <w:sz w:val="20"/>
          <w:szCs w:val="20"/>
        </w:rPr>
      </w:pPr>
      <w:r w:rsidRPr="005B5164">
        <w:rPr>
          <w:rFonts w:ascii="Times New Roman" w:hAnsi="Times New Roman" w:cs="Times New Roman"/>
          <w:b/>
          <w:bCs/>
          <w:sz w:val="20"/>
          <w:szCs w:val="20"/>
        </w:rPr>
        <w:t xml:space="preserve">References </w:t>
      </w:r>
      <w:bookmarkEnd w:id="1"/>
    </w:p>
    <w:p w14:paraId="0CCED619" w14:textId="101E7D49" w:rsidR="00B70B8D" w:rsidRPr="005977F2" w:rsidRDefault="00397AB8" w:rsidP="00146566">
      <w:pPr>
        <w:pStyle w:val="EndNoteBibliography"/>
        <w:spacing w:after="0"/>
        <w:ind w:leftChars="0" w:left="432" w:firstLineChars="0" w:hanging="432"/>
        <w:rPr>
          <w:rFonts w:ascii="Times New Roman" w:hAnsi="Times New Roman" w:cs="Times New Roman"/>
          <w:sz w:val="20"/>
          <w:szCs w:val="20"/>
        </w:rPr>
      </w:pPr>
      <w:r w:rsidRPr="005977F2">
        <w:rPr>
          <w:rFonts w:ascii="Times New Roman" w:hAnsi="Times New Roman" w:cs="Times New Roman"/>
          <w:b/>
          <w:bCs/>
          <w:sz w:val="20"/>
          <w:szCs w:val="20"/>
        </w:rPr>
        <w:fldChar w:fldCharType="begin"/>
      </w:r>
      <w:r w:rsidRPr="005977F2">
        <w:rPr>
          <w:rFonts w:ascii="Times New Roman" w:hAnsi="Times New Roman" w:cs="Times New Roman"/>
          <w:b/>
          <w:bCs/>
          <w:sz w:val="20"/>
          <w:szCs w:val="20"/>
        </w:rPr>
        <w:instrText xml:space="preserve"> ADDIN EN.REFLIST </w:instrText>
      </w:r>
      <w:r w:rsidRPr="005977F2">
        <w:rPr>
          <w:rFonts w:ascii="Times New Roman" w:hAnsi="Times New Roman" w:cs="Times New Roman"/>
          <w:b/>
          <w:bCs/>
          <w:sz w:val="20"/>
          <w:szCs w:val="20"/>
        </w:rPr>
        <w:fldChar w:fldCharType="separate"/>
      </w:r>
      <w:r w:rsidRPr="005977F2">
        <w:rPr>
          <w:rFonts w:ascii="Times New Roman" w:hAnsi="Times New Roman" w:cs="Times New Roman"/>
          <w:sz w:val="20"/>
          <w:szCs w:val="20"/>
        </w:rPr>
        <w:t xml:space="preserve">Al-Maawali, W. (2020). Affordances in educational technology: Perceptions of teachers and students in Oman. </w:t>
      </w:r>
      <w:r w:rsidRPr="005977F2">
        <w:rPr>
          <w:rFonts w:ascii="Times New Roman" w:hAnsi="Times New Roman" w:cs="Times New Roman"/>
          <w:i/>
          <w:sz w:val="20"/>
          <w:szCs w:val="20"/>
        </w:rPr>
        <w:t>Journal of Information Technology Education: Research</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19</w:t>
      </w:r>
      <w:r w:rsidRPr="005977F2">
        <w:rPr>
          <w:rFonts w:ascii="Times New Roman" w:hAnsi="Times New Roman" w:cs="Times New Roman"/>
          <w:sz w:val="20"/>
          <w:szCs w:val="20"/>
        </w:rPr>
        <w:t xml:space="preserve">, 931-952. </w:t>
      </w:r>
      <w:r w:rsidRPr="005977F2">
        <w:rPr>
          <w:rFonts w:ascii="Times New Roman" w:hAnsi="Times New Roman" w:cs="Times New Roman"/>
          <w:sz w:val="20"/>
          <w:szCs w:val="20"/>
        </w:rPr>
        <w:tab/>
      </w:r>
    </w:p>
    <w:p w14:paraId="237ADC25" w14:textId="51BDABB1"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Asamoah, D., &amp; Andoh-Baidoo, F. K. (2018). Antecedents and Outcomes of Extent of ERP Systems Implementation in the Sub-Saharan Africa Context: A Panoptic Perspective. </w:t>
      </w:r>
      <w:r w:rsidRPr="005977F2">
        <w:rPr>
          <w:rFonts w:ascii="Times New Roman" w:hAnsi="Times New Roman" w:cs="Times New Roman"/>
          <w:i/>
          <w:sz w:val="20"/>
          <w:szCs w:val="20"/>
        </w:rPr>
        <w:t>Communications of the Association for Information Systems</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42</w:t>
      </w:r>
      <w:r w:rsidRPr="005977F2">
        <w:rPr>
          <w:rFonts w:ascii="Times New Roman" w:hAnsi="Times New Roman" w:cs="Times New Roman"/>
          <w:sz w:val="20"/>
          <w:szCs w:val="20"/>
        </w:rPr>
        <w:t xml:space="preserve">(1). </w:t>
      </w:r>
      <w:hyperlink r:id="rId21" w:history="1">
        <w:r w:rsidRPr="005977F2">
          <w:rPr>
            <w:rStyle w:val="Hyperlink"/>
            <w:rFonts w:ascii="Times New Roman" w:hAnsi="Times New Roman" w:cs="Times New Roman"/>
            <w:sz w:val="20"/>
            <w:szCs w:val="20"/>
          </w:rPr>
          <w:t>https://aisel.aisnet.org/cais/vol42/iss1/22</w:t>
        </w:r>
      </w:hyperlink>
      <w:r w:rsidRPr="005977F2">
        <w:rPr>
          <w:rFonts w:ascii="Times New Roman" w:hAnsi="Times New Roman" w:cs="Times New Roman"/>
          <w:sz w:val="20"/>
          <w:szCs w:val="20"/>
        </w:rPr>
        <w:t xml:space="preserve"> </w:t>
      </w:r>
      <w:r w:rsidRPr="005977F2">
        <w:rPr>
          <w:rFonts w:ascii="Times New Roman" w:hAnsi="Times New Roman" w:cs="Times New Roman"/>
          <w:sz w:val="20"/>
          <w:szCs w:val="20"/>
        </w:rPr>
        <w:tab/>
      </w:r>
    </w:p>
    <w:p w14:paraId="3B5C4C09"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Asamoah, M. K. (2020). Reflections and refractions on Sakai/Moodle learning management system in developing countries: A case of Ghanaian universities’ demand and supply perspective analyses. </w:t>
      </w:r>
      <w:r w:rsidRPr="005977F2">
        <w:rPr>
          <w:rFonts w:ascii="Times New Roman" w:hAnsi="Times New Roman" w:cs="Times New Roman"/>
          <w:i/>
          <w:sz w:val="20"/>
          <w:szCs w:val="20"/>
        </w:rPr>
        <w:t>African Journal of Science, Technology, Innovation and Development</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12</w:t>
      </w:r>
      <w:r w:rsidRPr="005977F2">
        <w:rPr>
          <w:rFonts w:ascii="Times New Roman" w:hAnsi="Times New Roman" w:cs="Times New Roman"/>
          <w:sz w:val="20"/>
          <w:szCs w:val="20"/>
        </w:rPr>
        <w:t xml:space="preserve">(2), 243-259. </w:t>
      </w:r>
      <w:r w:rsidRPr="005977F2">
        <w:rPr>
          <w:rFonts w:ascii="Times New Roman" w:hAnsi="Times New Roman" w:cs="Times New Roman"/>
          <w:sz w:val="20"/>
          <w:szCs w:val="20"/>
        </w:rPr>
        <w:tab/>
      </w:r>
    </w:p>
    <w:p w14:paraId="5EDDD1E1"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Baghizadeh, Z., Cecez-Kecmanovic, D., &amp; Schlagwein, D. (2020). Review and critique of the information systems development project failure literature: An argument for exploring information systems development project distress. </w:t>
      </w:r>
      <w:r w:rsidRPr="005977F2">
        <w:rPr>
          <w:rFonts w:ascii="Times New Roman" w:hAnsi="Times New Roman" w:cs="Times New Roman"/>
          <w:i/>
          <w:sz w:val="20"/>
          <w:szCs w:val="20"/>
        </w:rPr>
        <w:t>Journal of information technology</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35</w:t>
      </w:r>
      <w:r w:rsidRPr="005977F2">
        <w:rPr>
          <w:rFonts w:ascii="Times New Roman" w:hAnsi="Times New Roman" w:cs="Times New Roman"/>
          <w:sz w:val="20"/>
          <w:szCs w:val="20"/>
        </w:rPr>
        <w:t xml:space="preserve">(2), 123-142. </w:t>
      </w:r>
      <w:r w:rsidRPr="005977F2">
        <w:rPr>
          <w:rFonts w:ascii="Times New Roman" w:hAnsi="Times New Roman" w:cs="Times New Roman"/>
          <w:sz w:val="20"/>
          <w:szCs w:val="20"/>
        </w:rPr>
        <w:tab/>
      </w:r>
    </w:p>
    <w:p w14:paraId="7EC9920E"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Bahari, A. (2021). Computer‐mediated feedback for L2 learners: Challenges versus affordances. </w:t>
      </w:r>
      <w:r w:rsidRPr="005977F2">
        <w:rPr>
          <w:rFonts w:ascii="Times New Roman" w:hAnsi="Times New Roman" w:cs="Times New Roman"/>
          <w:i/>
          <w:sz w:val="20"/>
          <w:szCs w:val="20"/>
        </w:rPr>
        <w:t>Journal of Computer Assisted Learning</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37</w:t>
      </w:r>
      <w:r w:rsidRPr="005977F2">
        <w:rPr>
          <w:rFonts w:ascii="Times New Roman" w:hAnsi="Times New Roman" w:cs="Times New Roman"/>
          <w:sz w:val="20"/>
          <w:szCs w:val="20"/>
        </w:rPr>
        <w:t xml:space="preserve">(1), 24-38. </w:t>
      </w:r>
      <w:r w:rsidRPr="005977F2">
        <w:rPr>
          <w:rFonts w:ascii="Times New Roman" w:hAnsi="Times New Roman" w:cs="Times New Roman"/>
          <w:sz w:val="20"/>
          <w:szCs w:val="20"/>
        </w:rPr>
        <w:tab/>
      </w:r>
    </w:p>
    <w:p w14:paraId="15F523D1"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Bahari, A., &amp; Gholami, L. (2022). Challenges and affordances of reading and writing development in technology-assisted language learning. </w:t>
      </w:r>
      <w:r w:rsidRPr="005977F2">
        <w:rPr>
          <w:rFonts w:ascii="Times New Roman" w:hAnsi="Times New Roman" w:cs="Times New Roman"/>
          <w:i/>
          <w:sz w:val="20"/>
          <w:szCs w:val="20"/>
        </w:rPr>
        <w:t>Interactive Learning Environments</w:t>
      </w:r>
      <w:r w:rsidRPr="005977F2">
        <w:rPr>
          <w:rFonts w:ascii="Times New Roman" w:hAnsi="Times New Roman" w:cs="Times New Roman"/>
          <w:sz w:val="20"/>
          <w:szCs w:val="20"/>
        </w:rPr>
        <w:t xml:space="preserve">, 1-25. </w:t>
      </w:r>
      <w:hyperlink r:id="rId22" w:history="1">
        <w:r w:rsidRPr="005977F2">
          <w:rPr>
            <w:rStyle w:val="Hyperlink"/>
            <w:rFonts w:ascii="Times New Roman" w:hAnsi="Times New Roman" w:cs="Times New Roman"/>
            <w:sz w:val="20"/>
            <w:szCs w:val="20"/>
          </w:rPr>
          <w:t>https://doi.org/10.1080/10494820.2022.2065308</w:t>
        </w:r>
      </w:hyperlink>
      <w:r w:rsidRPr="005977F2">
        <w:rPr>
          <w:rFonts w:ascii="Times New Roman" w:hAnsi="Times New Roman" w:cs="Times New Roman"/>
          <w:sz w:val="20"/>
          <w:szCs w:val="20"/>
        </w:rPr>
        <w:t xml:space="preserve"> </w:t>
      </w:r>
      <w:r w:rsidRPr="005977F2">
        <w:rPr>
          <w:rFonts w:ascii="Times New Roman" w:hAnsi="Times New Roman" w:cs="Times New Roman"/>
          <w:sz w:val="20"/>
          <w:szCs w:val="20"/>
        </w:rPr>
        <w:tab/>
      </w:r>
    </w:p>
    <w:p w14:paraId="786BBECC"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Bai, Z., Jain, N., Kurdyukov, R., Walton, J., Wang, Y., Wasson, T., Zhu, X., &amp; Chircu, A. M. (2019). Conducting Systematic Literature Reviews in Information Systems: An Analysis of Guidelines. </w:t>
      </w:r>
      <w:r w:rsidRPr="005977F2">
        <w:rPr>
          <w:rFonts w:ascii="Times New Roman" w:hAnsi="Times New Roman" w:cs="Times New Roman"/>
          <w:i/>
          <w:sz w:val="20"/>
          <w:szCs w:val="20"/>
        </w:rPr>
        <w:t>Issues in Information Systems</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20</w:t>
      </w:r>
      <w:r w:rsidRPr="005977F2">
        <w:rPr>
          <w:rFonts w:ascii="Times New Roman" w:hAnsi="Times New Roman" w:cs="Times New Roman"/>
          <w:sz w:val="20"/>
          <w:szCs w:val="20"/>
        </w:rPr>
        <w:t xml:space="preserve">(3). </w:t>
      </w:r>
      <w:r w:rsidRPr="005977F2">
        <w:rPr>
          <w:rFonts w:ascii="Times New Roman" w:hAnsi="Times New Roman" w:cs="Times New Roman"/>
          <w:sz w:val="20"/>
          <w:szCs w:val="20"/>
        </w:rPr>
        <w:tab/>
      </w:r>
    </w:p>
    <w:p w14:paraId="4929C165" w14:textId="018BE746"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Bandara, W., Furtmueller, E., Gorbacheva, E., Miskon, S., &amp; Beekhuyzen, J. (2015). Achieving rigor in literature reviews: Insights from qualitative data analysis and tool-support. </w:t>
      </w:r>
      <w:r w:rsidRPr="005977F2">
        <w:rPr>
          <w:rFonts w:ascii="Times New Roman" w:hAnsi="Times New Roman" w:cs="Times New Roman"/>
          <w:i/>
          <w:sz w:val="20"/>
          <w:szCs w:val="20"/>
        </w:rPr>
        <w:t>Communications of the Association for Information Systems</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37</w:t>
      </w:r>
      <w:r w:rsidR="00076657">
        <w:rPr>
          <w:rFonts w:ascii="Times New Roman" w:hAnsi="Times New Roman" w:cs="Times New Roman"/>
          <w:sz w:val="20"/>
          <w:szCs w:val="20"/>
        </w:rPr>
        <w:t xml:space="preserve">(1), 8. </w:t>
      </w:r>
      <w:r w:rsidRPr="005977F2">
        <w:rPr>
          <w:rFonts w:ascii="Times New Roman" w:hAnsi="Times New Roman" w:cs="Times New Roman"/>
          <w:sz w:val="20"/>
          <w:szCs w:val="20"/>
        </w:rPr>
        <w:t xml:space="preserve">Baran, E., &amp; AlZoubi, D. (2020). Affordances, challenges, and impact of open pedagogy: Examining students’ voices. </w:t>
      </w:r>
      <w:r w:rsidRPr="005977F2">
        <w:rPr>
          <w:rFonts w:ascii="Times New Roman" w:hAnsi="Times New Roman" w:cs="Times New Roman"/>
          <w:i/>
          <w:sz w:val="20"/>
          <w:szCs w:val="20"/>
        </w:rPr>
        <w:t>Distance Education</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41</w:t>
      </w:r>
      <w:r w:rsidRPr="005977F2">
        <w:rPr>
          <w:rFonts w:ascii="Times New Roman" w:hAnsi="Times New Roman" w:cs="Times New Roman"/>
          <w:sz w:val="20"/>
          <w:szCs w:val="20"/>
        </w:rPr>
        <w:t xml:space="preserve">(2), 230-244. </w:t>
      </w:r>
      <w:r w:rsidRPr="005977F2">
        <w:rPr>
          <w:rFonts w:ascii="Times New Roman" w:hAnsi="Times New Roman" w:cs="Times New Roman"/>
          <w:sz w:val="20"/>
          <w:szCs w:val="20"/>
        </w:rPr>
        <w:tab/>
      </w:r>
    </w:p>
    <w:p w14:paraId="5CC8D1FC"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lastRenderedPageBreak/>
        <w:t xml:space="preserve">Boell, S., &amp; Wang, B. (2019). www. litbaskets. io, an IT Artifact Supporting Exploratory Literature Searches for Information Systems Research. </w:t>
      </w:r>
      <w:r w:rsidRPr="005977F2">
        <w:rPr>
          <w:rFonts w:ascii="Times New Roman" w:hAnsi="Times New Roman" w:cs="Times New Roman"/>
          <w:sz w:val="20"/>
          <w:szCs w:val="20"/>
        </w:rPr>
        <w:tab/>
      </w:r>
    </w:p>
    <w:p w14:paraId="0DE21AE4"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Burlamaqui, L., &amp; Dong, A. (2017). Eye gaze experiment into the recognition of intended affordances. International Design Engineering Technical Conferences and Computers and Information in Engineering Conference, </w:t>
      </w:r>
      <w:r w:rsidRPr="005977F2">
        <w:rPr>
          <w:rFonts w:ascii="Times New Roman" w:hAnsi="Times New Roman" w:cs="Times New Roman"/>
          <w:sz w:val="20"/>
          <w:szCs w:val="20"/>
        </w:rPr>
        <w:tab/>
      </w:r>
    </w:p>
    <w:p w14:paraId="11BE1C61"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Cecez-Kecmanovic, D., Galliers, R. D., Henfridsson, O., Newell, S., &amp; Vidgen, R. (2014). The sociomateriality of information systems. </w:t>
      </w:r>
      <w:r w:rsidRPr="005977F2">
        <w:rPr>
          <w:rFonts w:ascii="Times New Roman" w:hAnsi="Times New Roman" w:cs="Times New Roman"/>
          <w:i/>
          <w:sz w:val="20"/>
          <w:szCs w:val="20"/>
        </w:rPr>
        <w:t>MIS Quarterly</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38</w:t>
      </w:r>
      <w:r w:rsidRPr="005977F2">
        <w:rPr>
          <w:rFonts w:ascii="Times New Roman" w:hAnsi="Times New Roman" w:cs="Times New Roman"/>
          <w:sz w:val="20"/>
          <w:szCs w:val="20"/>
        </w:rPr>
        <w:t xml:space="preserve">(3), 809-830. </w:t>
      </w:r>
      <w:r w:rsidRPr="005977F2">
        <w:rPr>
          <w:rFonts w:ascii="Times New Roman" w:hAnsi="Times New Roman" w:cs="Times New Roman"/>
          <w:sz w:val="20"/>
          <w:szCs w:val="20"/>
        </w:rPr>
        <w:tab/>
      </w:r>
    </w:p>
    <w:p w14:paraId="45536B43"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Charitonos, K. (2015). </w:t>
      </w:r>
      <w:r w:rsidRPr="005977F2">
        <w:rPr>
          <w:rFonts w:ascii="Times New Roman" w:hAnsi="Times New Roman" w:cs="Times New Roman"/>
          <w:i/>
          <w:sz w:val="20"/>
          <w:szCs w:val="20"/>
        </w:rPr>
        <w:t>An investigation into the use of a microblogging technology in school trips to museums</w:t>
      </w:r>
      <w:r w:rsidRPr="005977F2">
        <w:rPr>
          <w:rFonts w:ascii="Times New Roman" w:hAnsi="Times New Roman" w:cs="Times New Roman"/>
          <w:sz w:val="20"/>
          <w:szCs w:val="20"/>
        </w:rPr>
        <w:t xml:space="preserve">. Open University (United Kingdom). </w:t>
      </w:r>
      <w:r w:rsidRPr="005977F2">
        <w:rPr>
          <w:rFonts w:ascii="Times New Roman" w:hAnsi="Times New Roman" w:cs="Times New Roman"/>
          <w:sz w:val="20"/>
          <w:szCs w:val="20"/>
        </w:rPr>
        <w:tab/>
      </w:r>
    </w:p>
    <w:p w14:paraId="2C46C1C2"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Chatterjee, S., D Moody, G., Lowry, P. B., Chakraborty, S., &amp; Hardin, A. (2021). The nonlinear influence of harmonious information technology affordance on organisational innovation. </w:t>
      </w:r>
      <w:r w:rsidRPr="005977F2">
        <w:rPr>
          <w:rFonts w:ascii="Times New Roman" w:hAnsi="Times New Roman" w:cs="Times New Roman"/>
          <w:i/>
          <w:sz w:val="20"/>
          <w:szCs w:val="20"/>
        </w:rPr>
        <w:t>Information Systems Journal</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31</w:t>
      </w:r>
      <w:r w:rsidRPr="005977F2">
        <w:rPr>
          <w:rFonts w:ascii="Times New Roman" w:hAnsi="Times New Roman" w:cs="Times New Roman"/>
          <w:sz w:val="20"/>
          <w:szCs w:val="20"/>
        </w:rPr>
        <w:t xml:space="preserve">(2), 294-322. </w:t>
      </w:r>
      <w:hyperlink r:id="rId23" w:history="1">
        <w:r w:rsidRPr="005977F2">
          <w:rPr>
            <w:rStyle w:val="Hyperlink"/>
            <w:rFonts w:ascii="Times New Roman" w:hAnsi="Times New Roman" w:cs="Times New Roman"/>
            <w:sz w:val="20"/>
            <w:szCs w:val="20"/>
          </w:rPr>
          <w:t>https://doi.org/https://doi.org/10.1111/isj.12311</w:t>
        </w:r>
      </w:hyperlink>
      <w:r w:rsidRPr="005977F2">
        <w:rPr>
          <w:rFonts w:ascii="Times New Roman" w:hAnsi="Times New Roman" w:cs="Times New Roman"/>
          <w:sz w:val="20"/>
          <w:szCs w:val="20"/>
        </w:rPr>
        <w:t xml:space="preserve"> </w:t>
      </w:r>
      <w:r w:rsidRPr="005977F2">
        <w:rPr>
          <w:rFonts w:ascii="Times New Roman" w:hAnsi="Times New Roman" w:cs="Times New Roman"/>
          <w:sz w:val="20"/>
          <w:szCs w:val="20"/>
        </w:rPr>
        <w:tab/>
      </w:r>
    </w:p>
    <w:p w14:paraId="3183EFD7"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Cheikh-Ammar, M. (2018). The IT artifact and its spirit: a nexus of human values, affordances, symbolic expressions, and IT features. </w:t>
      </w:r>
      <w:r w:rsidRPr="005977F2">
        <w:rPr>
          <w:rFonts w:ascii="Times New Roman" w:hAnsi="Times New Roman" w:cs="Times New Roman"/>
          <w:i/>
          <w:sz w:val="20"/>
          <w:szCs w:val="20"/>
        </w:rPr>
        <w:t>European Journal of Information Systems</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27</w:t>
      </w:r>
      <w:r w:rsidRPr="005977F2">
        <w:rPr>
          <w:rFonts w:ascii="Times New Roman" w:hAnsi="Times New Roman" w:cs="Times New Roman"/>
          <w:sz w:val="20"/>
          <w:szCs w:val="20"/>
        </w:rPr>
        <w:t xml:space="preserve">(3), 278-294. </w:t>
      </w:r>
      <w:r w:rsidRPr="005977F2">
        <w:rPr>
          <w:rFonts w:ascii="Times New Roman" w:hAnsi="Times New Roman" w:cs="Times New Roman"/>
          <w:sz w:val="20"/>
          <w:szCs w:val="20"/>
        </w:rPr>
        <w:tab/>
      </w:r>
    </w:p>
    <w:p w14:paraId="2D94E612"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Cicekci, M. A., &amp; Sadik, F. (2019). Teachers' and Students' Opinions about Students' Attention Problems during the Lesson. </w:t>
      </w:r>
      <w:r w:rsidRPr="005977F2">
        <w:rPr>
          <w:rFonts w:ascii="Times New Roman" w:hAnsi="Times New Roman" w:cs="Times New Roman"/>
          <w:i/>
          <w:sz w:val="20"/>
          <w:szCs w:val="20"/>
        </w:rPr>
        <w:t>Journal of Education and Learning</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8</w:t>
      </w:r>
      <w:r w:rsidRPr="005977F2">
        <w:rPr>
          <w:rFonts w:ascii="Times New Roman" w:hAnsi="Times New Roman" w:cs="Times New Roman"/>
          <w:sz w:val="20"/>
          <w:szCs w:val="20"/>
        </w:rPr>
        <w:t xml:space="preserve">(6), 15-30. </w:t>
      </w:r>
      <w:r w:rsidRPr="005977F2">
        <w:rPr>
          <w:rFonts w:ascii="Times New Roman" w:hAnsi="Times New Roman" w:cs="Times New Roman"/>
          <w:sz w:val="20"/>
          <w:szCs w:val="20"/>
        </w:rPr>
        <w:tab/>
      </w:r>
    </w:p>
    <w:p w14:paraId="49E1775E"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Cordes, S. (2016). Virtual team learning: The role of collaboration process and technology affordance in team decision making. </w:t>
      </w:r>
      <w:r w:rsidRPr="005977F2">
        <w:rPr>
          <w:rFonts w:ascii="Times New Roman" w:hAnsi="Times New Roman" w:cs="Times New Roman"/>
          <w:i/>
          <w:sz w:val="20"/>
          <w:szCs w:val="20"/>
        </w:rPr>
        <w:t>Knowledge Management &amp; E-Learning: An International Journal</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8</w:t>
      </w:r>
      <w:r w:rsidRPr="005977F2">
        <w:rPr>
          <w:rFonts w:ascii="Times New Roman" w:hAnsi="Times New Roman" w:cs="Times New Roman"/>
          <w:sz w:val="20"/>
          <w:szCs w:val="20"/>
        </w:rPr>
        <w:t xml:space="preserve">(4), 602-627. </w:t>
      </w:r>
      <w:r w:rsidRPr="005977F2">
        <w:rPr>
          <w:rFonts w:ascii="Times New Roman" w:hAnsi="Times New Roman" w:cs="Times New Roman"/>
          <w:sz w:val="20"/>
          <w:szCs w:val="20"/>
        </w:rPr>
        <w:tab/>
      </w:r>
    </w:p>
    <w:p w14:paraId="69AD34CD"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D’Ambra, J., Wilson, C. S., &amp; Akter, S. (2019). Affordance theory and e-books: evaluating the e-reading experience using netnography. </w:t>
      </w:r>
      <w:r w:rsidRPr="005977F2">
        <w:rPr>
          <w:rFonts w:ascii="Times New Roman" w:hAnsi="Times New Roman" w:cs="Times New Roman"/>
          <w:i/>
          <w:sz w:val="20"/>
          <w:szCs w:val="20"/>
        </w:rPr>
        <w:t>Personal and Ubiquitous Computing</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23</w:t>
      </w:r>
      <w:r w:rsidRPr="005977F2">
        <w:rPr>
          <w:rFonts w:ascii="Times New Roman" w:hAnsi="Times New Roman" w:cs="Times New Roman"/>
          <w:sz w:val="20"/>
          <w:szCs w:val="20"/>
        </w:rPr>
        <w:t xml:space="preserve">(5), 873-892. </w:t>
      </w:r>
      <w:r w:rsidRPr="005977F2">
        <w:rPr>
          <w:rFonts w:ascii="Times New Roman" w:hAnsi="Times New Roman" w:cs="Times New Roman"/>
          <w:sz w:val="20"/>
          <w:szCs w:val="20"/>
        </w:rPr>
        <w:tab/>
      </w:r>
    </w:p>
    <w:p w14:paraId="34CF8CA4"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Davidsen, J., &amp; Vanderlinde, R. (2016). ‘You should collaborate, children’: a study of teachers’ design and facilitation of children’s collaboration around touchscreens. </w:t>
      </w:r>
      <w:r w:rsidRPr="005977F2">
        <w:rPr>
          <w:rFonts w:ascii="Times New Roman" w:hAnsi="Times New Roman" w:cs="Times New Roman"/>
          <w:i/>
          <w:sz w:val="20"/>
          <w:szCs w:val="20"/>
        </w:rPr>
        <w:t>Technology, Pedagogy and Education</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25</w:t>
      </w:r>
      <w:r w:rsidRPr="005977F2">
        <w:rPr>
          <w:rFonts w:ascii="Times New Roman" w:hAnsi="Times New Roman" w:cs="Times New Roman"/>
          <w:sz w:val="20"/>
          <w:szCs w:val="20"/>
        </w:rPr>
        <w:t xml:space="preserve">(5), 573-593. </w:t>
      </w:r>
      <w:r w:rsidRPr="005977F2">
        <w:rPr>
          <w:rFonts w:ascii="Times New Roman" w:hAnsi="Times New Roman" w:cs="Times New Roman"/>
          <w:sz w:val="20"/>
          <w:szCs w:val="20"/>
        </w:rPr>
        <w:tab/>
      </w:r>
    </w:p>
    <w:p w14:paraId="2AB8C51B"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Dinsmore, B. (2019). Contested affordances: teachers and students negotiating the classroom integration of mobile technology. </w:t>
      </w:r>
      <w:r w:rsidRPr="005977F2">
        <w:rPr>
          <w:rFonts w:ascii="Times New Roman" w:hAnsi="Times New Roman" w:cs="Times New Roman"/>
          <w:i/>
          <w:sz w:val="20"/>
          <w:szCs w:val="20"/>
        </w:rPr>
        <w:t>Information, Communication &amp; Society</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22</w:t>
      </w:r>
      <w:r w:rsidRPr="005977F2">
        <w:rPr>
          <w:rFonts w:ascii="Times New Roman" w:hAnsi="Times New Roman" w:cs="Times New Roman"/>
          <w:sz w:val="20"/>
          <w:szCs w:val="20"/>
        </w:rPr>
        <w:t xml:space="preserve">(5), 664-677. </w:t>
      </w:r>
      <w:r w:rsidRPr="005977F2">
        <w:rPr>
          <w:rFonts w:ascii="Times New Roman" w:hAnsi="Times New Roman" w:cs="Times New Roman"/>
          <w:sz w:val="20"/>
          <w:szCs w:val="20"/>
        </w:rPr>
        <w:tab/>
      </w:r>
    </w:p>
    <w:p w14:paraId="5F88C9F8"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Du-Plooy, L., &amp; Zilindile, M. (2014). Problematising the concept epistemological access with regard to foundation phase education towards quality schooling. </w:t>
      </w:r>
      <w:r w:rsidRPr="005977F2">
        <w:rPr>
          <w:rFonts w:ascii="Times New Roman" w:hAnsi="Times New Roman" w:cs="Times New Roman"/>
          <w:i/>
          <w:sz w:val="20"/>
          <w:szCs w:val="20"/>
        </w:rPr>
        <w:t>South African Journal of Childhood Education</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4</w:t>
      </w:r>
      <w:r w:rsidRPr="005977F2">
        <w:rPr>
          <w:rFonts w:ascii="Times New Roman" w:hAnsi="Times New Roman" w:cs="Times New Roman"/>
          <w:sz w:val="20"/>
          <w:szCs w:val="20"/>
        </w:rPr>
        <w:t xml:space="preserve">(1), 187-201. </w:t>
      </w:r>
      <w:r w:rsidRPr="005977F2">
        <w:rPr>
          <w:rFonts w:ascii="Times New Roman" w:hAnsi="Times New Roman" w:cs="Times New Roman"/>
          <w:sz w:val="20"/>
          <w:szCs w:val="20"/>
        </w:rPr>
        <w:tab/>
      </w:r>
    </w:p>
    <w:p w14:paraId="1DB91F30"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Eshchar‐Netz, L., &amp; Vedder‐Weiss, D. (2021). Teacher learning in communities of practice: The affordances of co‐planning for novice and veteran teachers' learning. </w:t>
      </w:r>
      <w:r w:rsidRPr="005977F2">
        <w:rPr>
          <w:rFonts w:ascii="Times New Roman" w:hAnsi="Times New Roman" w:cs="Times New Roman"/>
          <w:i/>
          <w:sz w:val="20"/>
          <w:szCs w:val="20"/>
        </w:rPr>
        <w:t>Journal of Research in Science Teaching</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58</w:t>
      </w:r>
      <w:r w:rsidRPr="005977F2">
        <w:rPr>
          <w:rFonts w:ascii="Times New Roman" w:hAnsi="Times New Roman" w:cs="Times New Roman"/>
          <w:sz w:val="20"/>
          <w:szCs w:val="20"/>
        </w:rPr>
        <w:t xml:space="preserve">(3), 366-391. </w:t>
      </w:r>
      <w:r w:rsidRPr="005977F2">
        <w:rPr>
          <w:rFonts w:ascii="Times New Roman" w:hAnsi="Times New Roman" w:cs="Times New Roman"/>
          <w:sz w:val="20"/>
          <w:szCs w:val="20"/>
        </w:rPr>
        <w:tab/>
      </w:r>
    </w:p>
    <w:p w14:paraId="5E4B2C7D"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Faik, I., Barrett, M., &amp; Oborn, E. (2020). How information technology matters in societal change: An affordance-based institutional logics perspective. </w:t>
      </w:r>
      <w:r w:rsidRPr="005977F2">
        <w:rPr>
          <w:rFonts w:ascii="Times New Roman" w:hAnsi="Times New Roman" w:cs="Times New Roman"/>
          <w:i/>
          <w:sz w:val="20"/>
          <w:szCs w:val="20"/>
        </w:rPr>
        <w:t>MIS Quarterly</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44</w:t>
      </w:r>
      <w:r w:rsidRPr="005977F2">
        <w:rPr>
          <w:rFonts w:ascii="Times New Roman" w:hAnsi="Times New Roman" w:cs="Times New Roman"/>
          <w:sz w:val="20"/>
          <w:szCs w:val="20"/>
        </w:rPr>
        <w:t xml:space="preserve">(3), 1359-1390. </w:t>
      </w:r>
      <w:r w:rsidRPr="005977F2">
        <w:rPr>
          <w:rFonts w:ascii="Times New Roman" w:hAnsi="Times New Roman" w:cs="Times New Roman"/>
          <w:sz w:val="20"/>
          <w:szCs w:val="20"/>
        </w:rPr>
        <w:tab/>
      </w:r>
    </w:p>
    <w:p w14:paraId="04F69F6A"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Fathema, N., &amp; Akanda, M. H. (2020). Effects of instructors’ academic disciplines and prior experience with learning management systems: A study about the use of Canvas. </w:t>
      </w:r>
      <w:r w:rsidRPr="005977F2">
        <w:rPr>
          <w:rFonts w:ascii="Times New Roman" w:hAnsi="Times New Roman" w:cs="Times New Roman"/>
          <w:i/>
          <w:sz w:val="20"/>
          <w:szCs w:val="20"/>
        </w:rPr>
        <w:t>Australasian Journal of Educational Technology</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36</w:t>
      </w:r>
      <w:r w:rsidRPr="005977F2">
        <w:rPr>
          <w:rFonts w:ascii="Times New Roman" w:hAnsi="Times New Roman" w:cs="Times New Roman"/>
          <w:sz w:val="20"/>
          <w:szCs w:val="20"/>
        </w:rPr>
        <w:t xml:space="preserve">(4), 113-125. </w:t>
      </w:r>
      <w:r w:rsidRPr="005977F2">
        <w:rPr>
          <w:rFonts w:ascii="Times New Roman" w:hAnsi="Times New Roman" w:cs="Times New Roman"/>
          <w:sz w:val="20"/>
          <w:szCs w:val="20"/>
        </w:rPr>
        <w:tab/>
      </w:r>
    </w:p>
    <w:p w14:paraId="044E5D7C"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Ferrari, A. (2012). Digital competence in practice: An analysis of frameworks. </w:t>
      </w:r>
      <w:r w:rsidRPr="005977F2">
        <w:rPr>
          <w:rFonts w:ascii="Times New Roman" w:hAnsi="Times New Roman" w:cs="Times New Roman"/>
          <w:i/>
          <w:sz w:val="20"/>
          <w:szCs w:val="20"/>
        </w:rPr>
        <w:t>Sevilla: JRC IPTS</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10</w:t>
      </w:r>
      <w:r w:rsidRPr="005977F2">
        <w:rPr>
          <w:rFonts w:ascii="Times New Roman" w:hAnsi="Times New Roman" w:cs="Times New Roman"/>
          <w:sz w:val="20"/>
          <w:szCs w:val="20"/>
        </w:rPr>
        <w:t xml:space="preserve">, 82116. </w:t>
      </w:r>
      <w:r w:rsidRPr="005977F2">
        <w:rPr>
          <w:rFonts w:ascii="Times New Roman" w:hAnsi="Times New Roman" w:cs="Times New Roman"/>
          <w:sz w:val="20"/>
          <w:szCs w:val="20"/>
        </w:rPr>
        <w:tab/>
      </w:r>
    </w:p>
    <w:p w14:paraId="4D650575"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Ferreras-Fernández, T., Martín-Rodero, H., García-Peñalvo, F. J., &amp; Merlo-Vega, J. A. (2016). The systematic review of literature in LIS: An approach. Proceedings of the Fourth International Conference on Technological Ecosystems for Enhancing Multiculturality, </w:t>
      </w:r>
      <w:r w:rsidRPr="005977F2">
        <w:rPr>
          <w:rFonts w:ascii="Times New Roman" w:hAnsi="Times New Roman" w:cs="Times New Roman"/>
          <w:sz w:val="20"/>
          <w:szCs w:val="20"/>
        </w:rPr>
        <w:tab/>
      </w:r>
    </w:p>
    <w:p w14:paraId="378F482D"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Fromm, J., Mirbabaie, M., &amp; Stieglitz, S. (2020). A Systematic Review of Empirical Affordance studies: Recommendations for Affordance Research in Information Systems. ECIS, </w:t>
      </w:r>
      <w:r w:rsidRPr="005977F2">
        <w:rPr>
          <w:rFonts w:ascii="Times New Roman" w:hAnsi="Times New Roman" w:cs="Times New Roman"/>
          <w:sz w:val="20"/>
          <w:szCs w:val="20"/>
        </w:rPr>
        <w:tab/>
      </w:r>
    </w:p>
    <w:p w14:paraId="527D14B0"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Fu, S., Gu, H., &amp; Yang, B. (2020). The affordances of AI-enabled automatic scoring applications on learners’ continuous learning intention: An empirical study in China. </w:t>
      </w:r>
      <w:r w:rsidRPr="005977F2">
        <w:rPr>
          <w:rFonts w:ascii="Times New Roman" w:hAnsi="Times New Roman" w:cs="Times New Roman"/>
          <w:i/>
          <w:sz w:val="20"/>
          <w:szCs w:val="20"/>
        </w:rPr>
        <w:t>British Journal of Educational Technology</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51</w:t>
      </w:r>
      <w:r w:rsidRPr="005977F2">
        <w:rPr>
          <w:rFonts w:ascii="Times New Roman" w:hAnsi="Times New Roman" w:cs="Times New Roman"/>
          <w:sz w:val="20"/>
          <w:szCs w:val="20"/>
        </w:rPr>
        <w:t xml:space="preserve">(5), 1674-1692. </w:t>
      </w:r>
      <w:hyperlink r:id="rId24" w:history="1">
        <w:r w:rsidRPr="005977F2">
          <w:rPr>
            <w:rStyle w:val="Hyperlink"/>
            <w:rFonts w:ascii="Times New Roman" w:hAnsi="Times New Roman" w:cs="Times New Roman"/>
            <w:sz w:val="20"/>
            <w:szCs w:val="20"/>
          </w:rPr>
          <w:t>https://doi.org/https://doi.org/10.1111/bjet.12995</w:t>
        </w:r>
      </w:hyperlink>
      <w:r w:rsidRPr="005977F2">
        <w:rPr>
          <w:rFonts w:ascii="Times New Roman" w:hAnsi="Times New Roman" w:cs="Times New Roman"/>
          <w:sz w:val="20"/>
          <w:szCs w:val="20"/>
        </w:rPr>
        <w:t xml:space="preserve"> </w:t>
      </w:r>
      <w:r w:rsidRPr="005977F2">
        <w:rPr>
          <w:rFonts w:ascii="Times New Roman" w:hAnsi="Times New Roman" w:cs="Times New Roman"/>
          <w:sz w:val="20"/>
          <w:szCs w:val="20"/>
        </w:rPr>
        <w:tab/>
      </w:r>
    </w:p>
    <w:p w14:paraId="6725F4A7"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Ghavifekr, S., &amp; Rosdy, W. A. W. (2015). Teaching and learning with technology: Effectiveness of ICT integration in schools. </w:t>
      </w:r>
      <w:r w:rsidRPr="005977F2">
        <w:rPr>
          <w:rFonts w:ascii="Times New Roman" w:hAnsi="Times New Roman" w:cs="Times New Roman"/>
          <w:i/>
          <w:sz w:val="20"/>
          <w:szCs w:val="20"/>
        </w:rPr>
        <w:t>International journal of research in education and science</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1</w:t>
      </w:r>
      <w:r w:rsidRPr="005977F2">
        <w:rPr>
          <w:rFonts w:ascii="Times New Roman" w:hAnsi="Times New Roman" w:cs="Times New Roman"/>
          <w:sz w:val="20"/>
          <w:szCs w:val="20"/>
        </w:rPr>
        <w:t xml:space="preserve">(2), 175-191. </w:t>
      </w:r>
      <w:r w:rsidRPr="005977F2">
        <w:rPr>
          <w:rFonts w:ascii="Times New Roman" w:hAnsi="Times New Roman" w:cs="Times New Roman"/>
          <w:sz w:val="20"/>
          <w:szCs w:val="20"/>
        </w:rPr>
        <w:tab/>
      </w:r>
    </w:p>
    <w:p w14:paraId="3627894E"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Gibson, C. B., Dunlop, P. D., Majchrzak, A., &amp; Chia, T. (2021). Sustaining Effectiveness in Global Teams: The Coevolution of Knowledge Management Activities and Technology Affordances. </w:t>
      </w:r>
      <w:r w:rsidRPr="005977F2">
        <w:rPr>
          <w:rFonts w:ascii="Times New Roman" w:hAnsi="Times New Roman" w:cs="Times New Roman"/>
          <w:i/>
          <w:sz w:val="20"/>
          <w:szCs w:val="20"/>
        </w:rPr>
        <w:t>Organization Science</w:t>
      </w:r>
      <w:r w:rsidRPr="005977F2">
        <w:rPr>
          <w:rFonts w:ascii="Times New Roman" w:hAnsi="Times New Roman" w:cs="Times New Roman"/>
          <w:sz w:val="20"/>
          <w:szCs w:val="20"/>
        </w:rPr>
        <w:t xml:space="preserve">. </w:t>
      </w:r>
      <w:r w:rsidRPr="005977F2">
        <w:rPr>
          <w:rFonts w:ascii="Times New Roman" w:hAnsi="Times New Roman" w:cs="Times New Roman"/>
          <w:sz w:val="20"/>
          <w:szCs w:val="20"/>
        </w:rPr>
        <w:tab/>
      </w:r>
    </w:p>
    <w:p w14:paraId="66B26F1D"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Gioia, D. A., Corley, K. G., &amp; Hamilton, A. L. (2013). Seeking qualitative rigor in inductive research: Notes on the Gioia methodology. </w:t>
      </w:r>
      <w:r w:rsidRPr="005977F2">
        <w:rPr>
          <w:rFonts w:ascii="Times New Roman" w:hAnsi="Times New Roman" w:cs="Times New Roman"/>
          <w:i/>
          <w:sz w:val="20"/>
          <w:szCs w:val="20"/>
        </w:rPr>
        <w:t>Organizational research methods</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16</w:t>
      </w:r>
      <w:r w:rsidRPr="005977F2">
        <w:rPr>
          <w:rFonts w:ascii="Times New Roman" w:hAnsi="Times New Roman" w:cs="Times New Roman"/>
          <w:sz w:val="20"/>
          <w:szCs w:val="20"/>
        </w:rPr>
        <w:t xml:space="preserve">(1), 15-31. </w:t>
      </w:r>
      <w:r w:rsidRPr="005977F2">
        <w:rPr>
          <w:rFonts w:ascii="Times New Roman" w:hAnsi="Times New Roman" w:cs="Times New Roman"/>
          <w:sz w:val="20"/>
          <w:szCs w:val="20"/>
        </w:rPr>
        <w:tab/>
      </w:r>
    </w:p>
    <w:p w14:paraId="665DA272"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Goldkuhl, G. (2020). Between Overexploitation and Underexploitation of Digital Opportunities–A Case Study with Focus on Affordances and Constraints. International Conference on Electronic Government, </w:t>
      </w:r>
      <w:r w:rsidRPr="005977F2">
        <w:rPr>
          <w:rFonts w:ascii="Times New Roman" w:hAnsi="Times New Roman" w:cs="Times New Roman"/>
          <w:sz w:val="20"/>
          <w:szCs w:val="20"/>
        </w:rPr>
        <w:tab/>
      </w:r>
    </w:p>
    <w:p w14:paraId="483A89FF" w14:textId="6F34239F"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Guerriero, S. (2014). Teachers’ pedagogical knowledge and the teaching profession. </w:t>
      </w:r>
      <w:r w:rsidRPr="005977F2">
        <w:rPr>
          <w:rFonts w:ascii="Times New Roman" w:hAnsi="Times New Roman" w:cs="Times New Roman"/>
          <w:i/>
          <w:sz w:val="20"/>
          <w:szCs w:val="20"/>
        </w:rPr>
        <w:t>Teaching and teacher education</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2</w:t>
      </w:r>
      <w:r w:rsidRPr="005977F2">
        <w:rPr>
          <w:rFonts w:ascii="Times New Roman" w:hAnsi="Times New Roman" w:cs="Times New Roman"/>
          <w:sz w:val="20"/>
          <w:szCs w:val="20"/>
        </w:rPr>
        <w:t xml:space="preserve">(1), 7. </w:t>
      </w:r>
    </w:p>
    <w:p w14:paraId="08CCD029"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Huang, W., Hew, K. F., &amp; Fryer, L. K. (2021). Chatbots for language learning—Are they really useful? A systematic review of chatbot‐supported language learning. </w:t>
      </w:r>
      <w:r w:rsidRPr="005977F2">
        <w:rPr>
          <w:rFonts w:ascii="Times New Roman" w:hAnsi="Times New Roman" w:cs="Times New Roman"/>
          <w:i/>
          <w:sz w:val="20"/>
          <w:szCs w:val="20"/>
        </w:rPr>
        <w:t>Journal of Computer Assisted Learning</w:t>
      </w:r>
      <w:r w:rsidRPr="005977F2">
        <w:rPr>
          <w:rFonts w:ascii="Times New Roman" w:hAnsi="Times New Roman" w:cs="Times New Roman"/>
          <w:sz w:val="20"/>
          <w:szCs w:val="20"/>
        </w:rPr>
        <w:t xml:space="preserve">. </w:t>
      </w:r>
      <w:r w:rsidRPr="005977F2">
        <w:rPr>
          <w:rFonts w:ascii="Times New Roman" w:hAnsi="Times New Roman" w:cs="Times New Roman"/>
          <w:sz w:val="20"/>
          <w:szCs w:val="20"/>
        </w:rPr>
        <w:tab/>
      </w:r>
    </w:p>
    <w:p w14:paraId="345A642D"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Ilomäki, L., &amp; Lakkala, M. (2018). Digital technology and practices for school improvement: innovative digital school model. </w:t>
      </w:r>
      <w:r w:rsidRPr="005977F2">
        <w:rPr>
          <w:rFonts w:ascii="Times New Roman" w:hAnsi="Times New Roman" w:cs="Times New Roman"/>
          <w:i/>
          <w:sz w:val="20"/>
          <w:szCs w:val="20"/>
        </w:rPr>
        <w:t>Research and practice in technology enhanced learning</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13</w:t>
      </w:r>
      <w:r w:rsidRPr="005977F2">
        <w:rPr>
          <w:rFonts w:ascii="Times New Roman" w:hAnsi="Times New Roman" w:cs="Times New Roman"/>
          <w:sz w:val="20"/>
          <w:szCs w:val="20"/>
        </w:rPr>
        <w:t xml:space="preserve">(1), 1-32. </w:t>
      </w:r>
      <w:r w:rsidRPr="005977F2">
        <w:rPr>
          <w:rFonts w:ascii="Times New Roman" w:hAnsi="Times New Roman" w:cs="Times New Roman"/>
          <w:sz w:val="20"/>
          <w:szCs w:val="20"/>
        </w:rPr>
        <w:tab/>
      </w:r>
    </w:p>
    <w:p w14:paraId="0AC1DD6E"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lastRenderedPageBreak/>
        <w:t xml:space="preserve">Inuwa, I., Ononiwu, C., &amp; Kah, M. M. (2020). Dimensions that characterize and mechanisms that cause the misuse of information systems for corrupt practices in the Nigerian public sector. </w:t>
      </w:r>
      <w:r w:rsidRPr="005977F2">
        <w:rPr>
          <w:rFonts w:ascii="Times New Roman" w:hAnsi="Times New Roman" w:cs="Times New Roman"/>
          <w:i/>
          <w:sz w:val="20"/>
          <w:szCs w:val="20"/>
        </w:rPr>
        <w:t>The Electronic Journal of Information Systems in Developing Countries</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86</w:t>
      </w:r>
      <w:r w:rsidRPr="005977F2">
        <w:rPr>
          <w:rFonts w:ascii="Times New Roman" w:hAnsi="Times New Roman" w:cs="Times New Roman"/>
          <w:sz w:val="20"/>
          <w:szCs w:val="20"/>
        </w:rPr>
        <w:t xml:space="preserve">(6), e12136. </w:t>
      </w:r>
      <w:r w:rsidRPr="005977F2">
        <w:rPr>
          <w:rFonts w:ascii="Times New Roman" w:hAnsi="Times New Roman" w:cs="Times New Roman"/>
          <w:sz w:val="20"/>
          <w:szCs w:val="20"/>
        </w:rPr>
        <w:tab/>
      </w:r>
    </w:p>
    <w:p w14:paraId="4A587896"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Jais, J., Rahim, R. E. A., Budit, B., Hussin, M., Kamaruzaman, S. F., Kamaruldin, K., &amp; Dzaki, D. R. M. (2021). Exploring user analysis of blended learning module for Research Methodology course. SHS Web of Conferences, </w:t>
      </w:r>
      <w:r w:rsidRPr="005977F2">
        <w:rPr>
          <w:rFonts w:ascii="Times New Roman" w:hAnsi="Times New Roman" w:cs="Times New Roman"/>
          <w:sz w:val="20"/>
          <w:szCs w:val="20"/>
        </w:rPr>
        <w:tab/>
      </w:r>
    </w:p>
    <w:p w14:paraId="3F16F21A" w14:textId="38E9DECC"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Järvelä, S., Kirschner, P. A., Panadero, E., Malmberg, J., Phielix, C., Jaspers, J., Koivuniemi, M., &amp; Järvenoja, H. (2015). </w:t>
      </w:r>
    </w:p>
    <w:p w14:paraId="6E52A097"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Jeong, H., &amp; Hmelo-Silver, C. E. (2016). Seven affordances of computer-supported collaborative learning: How to support collaborative learning? How can technologies help? </w:t>
      </w:r>
      <w:r w:rsidRPr="005977F2">
        <w:rPr>
          <w:rFonts w:ascii="Times New Roman" w:hAnsi="Times New Roman" w:cs="Times New Roman"/>
          <w:i/>
          <w:sz w:val="20"/>
          <w:szCs w:val="20"/>
        </w:rPr>
        <w:t>Educational psychologist</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51</w:t>
      </w:r>
      <w:r w:rsidRPr="005977F2">
        <w:rPr>
          <w:rFonts w:ascii="Times New Roman" w:hAnsi="Times New Roman" w:cs="Times New Roman"/>
          <w:sz w:val="20"/>
          <w:szCs w:val="20"/>
        </w:rPr>
        <w:t xml:space="preserve">(2), 247-265. </w:t>
      </w:r>
      <w:r w:rsidRPr="005977F2">
        <w:rPr>
          <w:rFonts w:ascii="Times New Roman" w:hAnsi="Times New Roman" w:cs="Times New Roman"/>
          <w:sz w:val="20"/>
          <w:szCs w:val="20"/>
        </w:rPr>
        <w:tab/>
      </w:r>
    </w:p>
    <w:p w14:paraId="72E7B631"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Johnson, A. M., Jacovina, M. E., Russell, D. G., &amp; Soto, C. M. (2016). Challenges and solutions when using technologies in the classroom. In </w:t>
      </w:r>
      <w:r w:rsidRPr="005977F2">
        <w:rPr>
          <w:rFonts w:ascii="Times New Roman" w:hAnsi="Times New Roman" w:cs="Times New Roman"/>
          <w:i/>
          <w:sz w:val="20"/>
          <w:szCs w:val="20"/>
        </w:rPr>
        <w:t>Adaptive educational technologies for literacy instruction</w:t>
      </w:r>
      <w:r w:rsidRPr="005977F2">
        <w:rPr>
          <w:rFonts w:ascii="Times New Roman" w:hAnsi="Times New Roman" w:cs="Times New Roman"/>
          <w:sz w:val="20"/>
          <w:szCs w:val="20"/>
        </w:rPr>
        <w:t xml:space="preserve"> (pp. 13-30). Routledge. </w:t>
      </w:r>
      <w:r w:rsidRPr="005977F2">
        <w:rPr>
          <w:rFonts w:ascii="Times New Roman" w:hAnsi="Times New Roman" w:cs="Times New Roman"/>
          <w:sz w:val="20"/>
          <w:szCs w:val="20"/>
        </w:rPr>
        <w:tab/>
      </w:r>
    </w:p>
    <w:p w14:paraId="3E456106"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Jónasdóttir, H., &amp; Müller, S. D. (2020). Theorizing Affordance Actualization in Digital Innovation from a Socio-Technical Perspective: The case of the video game industry. </w:t>
      </w:r>
      <w:r w:rsidRPr="005977F2">
        <w:rPr>
          <w:rFonts w:ascii="Times New Roman" w:hAnsi="Times New Roman" w:cs="Times New Roman"/>
          <w:i/>
          <w:sz w:val="20"/>
          <w:szCs w:val="20"/>
        </w:rPr>
        <w:t>Scandinavian Journal of Information Systems</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32</w:t>
      </w:r>
      <w:r w:rsidRPr="005977F2">
        <w:rPr>
          <w:rFonts w:ascii="Times New Roman" w:hAnsi="Times New Roman" w:cs="Times New Roman"/>
          <w:sz w:val="20"/>
          <w:szCs w:val="20"/>
        </w:rPr>
        <w:t xml:space="preserve">(1), 5. </w:t>
      </w:r>
      <w:r w:rsidRPr="005977F2">
        <w:rPr>
          <w:rFonts w:ascii="Times New Roman" w:hAnsi="Times New Roman" w:cs="Times New Roman"/>
          <w:sz w:val="20"/>
          <w:szCs w:val="20"/>
        </w:rPr>
        <w:tab/>
      </w:r>
    </w:p>
    <w:p w14:paraId="753AFF24"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Koch, K. (2017). Stay in the box! Embedded assistive technology improves access for students with disabilities. </w:t>
      </w:r>
      <w:r w:rsidRPr="005977F2">
        <w:rPr>
          <w:rFonts w:ascii="Times New Roman" w:hAnsi="Times New Roman" w:cs="Times New Roman"/>
          <w:i/>
          <w:sz w:val="20"/>
          <w:szCs w:val="20"/>
        </w:rPr>
        <w:t>Education Sciences</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7</w:t>
      </w:r>
      <w:r w:rsidRPr="005977F2">
        <w:rPr>
          <w:rFonts w:ascii="Times New Roman" w:hAnsi="Times New Roman" w:cs="Times New Roman"/>
          <w:sz w:val="20"/>
          <w:szCs w:val="20"/>
        </w:rPr>
        <w:t xml:space="preserve">(4), 82. </w:t>
      </w:r>
      <w:r w:rsidRPr="005977F2">
        <w:rPr>
          <w:rFonts w:ascii="Times New Roman" w:hAnsi="Times New Roman" w:cs="Times New Roman"/>
          <w:sz w:val="20"/>
          <w:szCs w:val="20"/>
        </w:rPr>
        <w:tab/>
      </w:r>
    </w:p>
    <w:p w14:paraId="735B02BC"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Kuru Gönen, S. İ. (2019). A qualitative study on a situated experience of technology integration: Reflections from pre-service teachers and students. </w:t>
      </w:r>
      <w:r w:rsidRPr="005977F2">
        <w:rPr>
          <w:rFonts w:ascii="Times New Roman" w:hAnsi="Times New Roman" w:cs="Times New Roman"/>
          <w:i/>
          <w:sz w:val="20"/>
          <w:szCs w:val="20"/>
        </w:rPr>
        <w:t>Computer Assisted Language Learning</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32</w:t>
      </w:r>
      <w:r w:rsidRPr="005977F2">
        <w:rPr>
          <w:rFonts w:ascii="Times New Roman" w:hAnsi="Times New Roman" w:cs="Times New Roman"/>
          <w:sz w:val="20"/>
          <w:szCs w:val="20"/>
        </w:rPr>
        <w:t xml:space="preserve">(3), 163-189. </w:t>
      </w:r>
      <w:r w:rsidRPr="005977F2">
        <w:rPr>
          <w:rFonts w:ascii="Times New Roman" w:hAnsi="Times New Roman" w:cs="Times New Roman"/>
          <w:sz w:val="20"/>
          <w:szCs w:val="20"/>
        </w:rPr>
        <w:tab/>
      </w:r>
    </w:p>
    <w:p w14:paraId="0584CD7A"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Lahiri, M., &amp; Moseley, J. L. (2015). Learning by Going Social: Do We Really Learn from Social Media? </w:t>
      </w:r>
      <w:r w:rsidRPr="005977F2">
        <w:rPr>
          <w:rFonts w:ascii="Times New Roman" w:hAnsi="Times New Roman" w:cs="Times New Roman"/>
          <w:i/>
          <w:sz w:val="20"/>
          <w:szCs w:val="20"/>
        </w:rPr>
        <w:t>International Journal of Learning, Teaching and Educational Research</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11</w:t>
      </w:r>
      <w:r w:rsidRPr="005977F2">
        <w:rPr>
          <w:rFonts w:ascii="Times New Roman" w:hAnsi="Times New Roman" w:cs="Times New Roman"/>
          <w:sz w:val="20"/>
          <w:szCs w:val="20"/>
        </w:rPr>
        <w:t xml:space="preserve">(2). </w:t>
      </w:r>
      <w:r w:rsidRPr="005977F2">
        <w:rPr>
          <w:rFonts w:ascii="Times New Roman" w:hAnsi="Times New Roman" w:cs="Times New Roman"/>
          <w:sz w:val="20"/>
          <w:szCs w:val="20"/>
        </w:rPr>
        <w:tab/>
      </w:r>
    </w:p>
    <w:p w14:paraId="52CB7971"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Lai, C.-H. (2017). A study of emergent organizing and technological affordances after a natural disaster. </w:t>
      </w:r>
      <w:r w:rsidRPr="005977F2">
        <w:rPr>
          <w:rFonts w:ascii="Times New Roman" w:hAnsi="Times New Roman" w:cs="Times New Roman"/>
          <w:i/>
          <w:sz w:val="20"/>
          <w:szCs w:val="20"/>
        </w:rPr>
        <w:t>Online information review</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41</w:t>
      </w:r>
      <w:r w:rsidRPr="005977F2">
        <w:rPr>
          <w:rFonts w:ascii="Times New Roman" w:hAnsi="Times New Roman" w:cs="Times New Roman"/>
          <w:sz w:val="20"/>
          <w:szCs w:val="20"/>
        </w:rPr>
        <w:t xml:space="preserve">(4), 507-523. </w:t>
      </w:r>
      <w:hyperlink r:id="rId25" w:history="1">
        <w:r w:rsidRPr="005977F2">
          <w:rPr>
            <w:rStyle w:val="Hyperlink"/>
            <w:rFonts w:ascii="Times New Roman" w:hAnsi="Times New Roman" w:cs="Times New Roman"/>
            <w:sz w:val="20"/>
            <w:szCs w:val="20"/>
          </w:rPr>
          <w:t>https://doi.org/10.1108/OIR-10-2015-0343</w:t>
        </w:r>
      </w:hyperlink>
      <w:r w:rsidRPr="005977F2">
        <w:rPr>
          <w:rFonts w:ascii="Times New Roman" w:hAnsi="Times New Roman" w:cs="Times New Roman"/>
          <w:sz w:val="20"/>
          <w:szCs w:val="20"/>
        </w:rPr>
        <w:t xml:space="preserve"> </w:t>
      </w:r>
      <w:r w:rsidRPr="005977F2">
        <w:rPr>
          <w:rFonts w:ascii="Times New Roman" w:hAnsi="Times New Roman" w:cs="Times New Roman"/>
          <w:sz w:val="20"/>
          <w:szCs w:val="20"/>
        </w:rPr>
        <w:tab/>
      </w:r>
    </w:p>
    <w:p w14:paraId="2D779760"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Leonardi, P. M. (2013). When Does Technology Use Enable Network Change in Organizations? A Comparative Study of Feature Use and Shared Affordances. </w:t>
      </w:r>
      <w:r w:rsidRPr="005977F2">
        <w:rPr>
          <w:rFonts w:ascii="Times New Roman" w:hAnsi="Times New Roman" w:cs="Times New Roman"/>
          <w:i/>
          <w:sz w:val="20"/>
          <w:szCs w:val="20"/>
        </w:rPr>
        <w:t>Management Information Systems Quarterly</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37</w:t>
      </w:r>
      <w:r w:rsidRPr="005977F2">
        <w:rPr>
          <w:rFonts w:ascii="Times New Roman" w:hAnsi="Times New Roman" w:cs="Times New Roman"/>
          <w:sz w:val="20"/>
          <w:szCs w:val="20"/>
        </w:rPr>
        <w:t xml:space="preserve">(3), 749-775. </w:t>
      </w:r>
      <w:hyperlink r:id="rId26" w:history="1">
        <w:r w:rsidRPr="005977F2">
          <w:rPr>
            <w:rStyle w:val="Hyperlink"/>
            <w:rFonts w:ascii="Times New Roman" w:hAnsi="Times New Roman" w:cs="Times New Roman"/>
            <w:sz w:val="20"/>
            <w:szCs w:val="20"/>
          </w:rPr>
          <w:t>https://aisel.aisnet.org/misq/vol37/iss3/6</w:t>
        </w:r>
      </w:hyperlink>
      <w:r w:rsidRPr="005977F2">
        <w:rPr>
          <w:rFonts w:ascii="Times New Roman" w:hAnsi="Times New Roman" w:cs="Times New Roman"/>
          <w:sz w:val="20"/>
          <w:szCs w:val="20"/>
        </w:rPr>
        <w:t xml:space="preserve"> </w:t>
      </w:r>
      <w:r w:rsidRPr="005977F2">
        <w:rPr>
          <w:rFonts w:ascii="Times New Roman" w:hAnsi="Times New Roman" w:cs="Times New Roman"/>
          <w:sz w:val="20"/>
          <w:szCs w:val="20"/>
        </w:rPr>
        <w:tab/>
      </w:r>
    </w:p>
    <w:p w14:paraId="21CF01C3"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Li, G. (2017). From Absence to Affordances: Integrating Old and New Literacies in School‐Based Instruction for English Learners. </w:t>
      </w:r>
      <w:r w:rsidRPr="005977F2">
        <w:rPr>
          <w:rFonts w:ascii="Times New Roman" w:hAnsi="Times New Roman" w:cs="Times New Roman"/>
          <w:i/>
          <w:sz w:val="20"/>
          <w:szCs w:val="20"/>
        </w:rPr>
        <w:t>Journal of Adolescent &amp; Adult Literacy</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61</w:t>
      </w:r>
      <w:r w:rsidRPr="005977F2">
        <w:rPr>
          <w:rFonts w:ascii="Times New Roman" w:hAnsi="Times New Roman" w:cs="Times New Roman"/>
          <w:sz w:val="20"/>
          <w:szCs w:val="20"/>
        </w:rPr>
        <w:t xml:space="preserve">(3), 241-246. </w:t>
      </w:r>
      <w:r w:rsidRPr="005977F2">
        <w:rPr>
          <w:rFonts w:ascii="Times New Roman" w:hAnsi="Times New Roman" w:cs="Times New Roman"/>
          <w:sz w:val="20"/>
          <w:szCs w:val="20"/>
        </w:rPr>
        <w:tab/>
      </w:r>
    </w:p>
    <w:p w14:paraId="1D8364E4"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Li, Y., Kim, M., &amp; Palkar, J. (2022). Using emerging technologies to promote creativity in education: A systematic review. </w:t>
      </w:r>
      <w:r w:rsidRPr="005977F2">
        <w:rPr>
          <w:rFonts w:ascii="Times New Roman" w:hAnsi="Times New Roman" w:cs="Times New Roman"/>
          <w:i/>
          <w:sz w:val="20"/>
          <w:szCs w:val="20"/>
        </w:rPr>
        <w:t>International Journal of Educational Research Open</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3</w:t>
      </w:r>
      <w:r w:rsidRPr="005977F2">
        <w:rPr>
          <w:rFonts w:ascii="Times New Roman" w:hAnsi="Times New Roman" w:cs="Times New Roman"/>
          <w:sz w:val="20"/>
          <w:szCs w:val="20"/>
        </w:rPr>
        <w:t xml:space="preserve">, 100177. </w:t>
      </w:r>
      <w:r w:rsidRPr="005977F2">
        <w:rPr>
          <w:rFonts w:ascii="Times New Roman" w:hAnsi="Times New Roman" w:cs="Times New Roman"/>
          <w:sz w:val="20"/>
          <w:szCs w:val="20"/>
        </w:rPr>
        <w:tab/>
      </w:r>
    </w:p>
    <w:p w14:paraId="54C24A81"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Liaw, M.-L. (2014). The affordance of speech recognition technology for EFL learning in an elementary school setting. </w:t>
      </w:r>
      <w:r w:rsidRPr="005977F2">
        <w:rPr>
          <w:rFonts w:ascii="Times New Roman" w:hAnsi="Times New Roman" w:cs="Times New Roman"/>
          <w:i/>
          <w:sz w:val="20"/>
          <w:szCs w:val="20"/>
        </w:rPr>
        <w:t>Innovation in Language Learning and Teaching</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8</w:t>
      </w:r>
      <w:r w:rsidRPr="005977F2">
        <w:rPr>
          <w:rFonts w:ascii="Times New Roman" w:hAnsi="Times New Roman" w:cs="Times New Roman"/>
          <w:sz w:val="20"/>
          <w:szCs w:val="20"/>
        </w:rPr>
        <w:t xml:space="preserve">(1), 79-93. </w:t>
      </w:r>
      <w:hyperlink r:id="rId27" w:history="1">
        <w:r w:rsidRPr="005977F2">
          <w:rPr>
            <w:rStyle w:val="Hyperlink"/>
            <w:rFonts w:ascii="Times New Roman" w:hAnsi="Times New Roman" w:cs="Times New Roman"/>
            <w:sz w:val="20"/>
            <w:szCs w:val="20"/>
          </w:rPr>
          <w:t>https://doi.org/10.1080/17501229.2012.756491</w:t>
        </w:r>
      </w:hyperlink>
      <w:r w:rsidRPr="005977F2">
        <w:rPr>
          <w:rFonts w:ascii="Times New Roman" w:hAnsi="Times New Roman" w:cs="Times New Roman"/>
          <w:sz w:val="20"/>
          <w:szCs w:val="20"/>
        </w:rPr>
        <w:t xml:space="preserve"> </w:t>
      </w:r>
      <w:r w:rsidRPr="005977F2">
        <w:rPr>
          <w:rFonts w:ascii="Times New Roman" w:hAnsi="Times New Roman" w:cs="Times New Roman"/>
          <w:sz w:val="20"/>
          <w:szCs w:val="20"/>
        </w:rPr>
        <w:tab/>
      </w:r>
    </w:p>
    <w:p w14:paraId="3CB1223C"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Lodge, J. M., Kennedy, G., Lockyer, L., Arguel, A., &amp; Pachman, M. (2018). Understanding difficulties and resulting confusion in learning: an integrative review. Frontiers in Education, </w:t>
      </w:r>
      <w:r w:rsidRPr="005977F2">
        <w:rPr>
          <w:rFonts w:ascii="Times New Roman" w:hAnsi="Times New Roman" w:cs="Times New Roman"/>
          <w:sz w:val="20"/>
          <w:szCs w:val="20"/>
        </w:rPr>
        <w:tab/>
      </w:r>
    </w:p>
    <w:p w14:paraId="12CC7EA4"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Luo, H., Li, G., Feng, Q., Yang, Y., &amp; Zuo, M. (2021). Virtual reality in K‐12 and higher education: A systematic review of the literature from 2000 to 2019. </w:t>
      </w:r>
      <w:r w:rsidRPr="005977F2">
        <w:rPr>
          <w:rFonts w:ascii="Times New Roman" w:hAnsi="Times New Roman" w:cs="Times New Roman"/>
          <w:i/>
          <w:sz w:val="20"/>
          <w:szCs w:val="20"/>
        </w:rPr>
        <w:t>Journal of Computer Assisted Learning</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37</w:t>
      </w:r>
      <w:r w:rsidRPr="005977F2">
        <w:rPr>
          <w:rFonts w:ascii="Times New Roman" w:hAnsi="Times New Roman" w:cs="Times New Roman"/>
          <w:sz w:val="20"/>
          <w:szCs w:val="20"/>
        </w:rPr>
        <w:t xml:space="preserve">(3), 887-901. </w:t>
      </w:r>
      <w:r w:rsidRPr="005977F2">
        <w:rPr>
          <w:rFonts w:ascii="Times New Roman" w:hAnsi="Times New Roman" w:cs="Times New Roman"/>
          <w:sz w:val="20"/>
          <w:szCs w:val="20"/>
        </w:rPr>
        <w:tab/>
      </w:r>
    </w:p>
    <w:p w14:paraId="3FA70D84"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Ma, M., Chen, J., Zheng, P., &amp; Wu, Y. (2020). Factors affecting EFL teachers’ affordance transfer of ICT resources in China. </w:t>
      </w:r>
      <w:r w:rsidRPr="005977F2">
        <w:rPr>
          <w:rFonts w:ascii="Times New Roman" w:hAnsi="Times New Roman" w:cs="Times New Roman"/>
          <w:i/>
          <w:sz w:val="20"/>
          <w:szCs w:val="20"/>
        </w:rPr>
        <w:t>Interactive Learning Environments</w:t>
      </w:r>
      <w:r w:rsidRPr="005977F2">
        <w:rPr>
          <w:rFonts w:ascii="Times New Roman" w:hAnsi="Times New Roman" w:cs="Times New Roman"/>
          <w:sz w:val="20"/>
          <w:szCs w:val="20"/>
        </w:rPr>
        <w:t xml:space="preserve">, 1-16. </w:t>
      </w:r>
      <w:r w:rsidRPr="005977F2">
        <w:rPr>
          <w:rFonts w:ascii="Times New Roman" w:hAnsi="Times New Roman" w:cs="Times New Roman"/>
          <w:sz w:val="20"/>
          <w:szCs w:val="20"/>
        </w:rPr>
        <w:tab/>
      </w:r>
    </w:p>
    <w:p w14:paraId="4F9E46DF"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Major, L., Smørdal, O., Warwick, P., Rasmussen, I., Cook, V., &amp; Vrikki, M. (2022). Investigating digital technology’s role in supporting classroom dialogue: integrating enacted affordance into analysis across a complex dataset. </w:t>
      </w:r>
      <w:r w:rsidRPr="005977F2">
        <w:rPr>
          <w:rFonts w:ascii="Times New Roman" w:hAnsi="Times New Roman" w:cs="Times New Roman"/>
          <w:i/>
          <w:sz w:val="20"/>
          <w:szCs w:val="20"/>
        </w:rPr>
        <w:t>International Journal of Research &amp; Method in Education</w:t>
      </w:r>
      <w:r w:rsidRPr="005977F2">
        <w:rPr>
          <w:rFonts w:ascii="Times New Roman" w:hAnsi="Times New Roman" w:cs="Times New Roman"/>
          <w:sz w:val="20"/>
          <w:szCs w:val="20"/>
        </w:rPr>
        <w:t xml:space="preserve">, 1-19. </w:t>
      </w:r>
      <w:hyperlink r:id="rId28" w:history="1">
        <w:r w:rsidRPr="005977F2">
          <w:rPr>
            <w:rStyle w:val="Hyperlink"/>
            <w:rFonts w:ascii="Times New Roman" w:hAnsi="Times New Roman" w:cs="Times New Roman"/>
            <w:sz w:val="20"/>
            <w:szCs w:val="20"/>
          </w:rPr>
          <w:t>https://doi.org/10.1080/1743727X.2022.2032632</w:t>
        </w:r>
      </w:hyperlink>
      <w:r w:rsidRPr="005977F2">
        <w:rPr>
          <w:rFonts w:ascii="Times New Roman" w:hAnsi="Times New Roman" w:cs="Times New Roman"/>
          <w:sz w:val="20"/>
          <w:szCs w:val="20"/>
        </w:rPr>
        <w:t xml:space="preserve"> </w:t>
      </w:r>
      <w:r w:rsidRPr="005977F2">
        <w:rPr>
          <w:rFonts w:ascii="Times New Roman" w:hAnsi="Times New Roman" w:cs="Times New Roman"/>
          <w:sz w:val="20"/>
          <w:szCs w:val="20"/>
        </w:rPr>
        <w:tab/>
      </w:r>
    </w:p>
    <w:p w14:paraId="0611C92F"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Major, L., &amp; Warwick, P. (2019). Affordances for dialogue: The role of digital technology in supporting productive classroom talk. In </w:t>
      </w:r>
      <w:r w:rsidRPr="005977F2">
        <w:rPr>
          <w:rFonts w:ascii="Times New Roman" w:hAnsi="Times New Roman" w:cs="Times New Roman"/>
          <w:i/>
          <w:sz w:val="20"/>
          <w:szCs w:val="20"/>
        </w:rPr>
        <w:t>The Routledge international handbook of research on dialogic education</w:t>
      </w:r>
      <w:r w:rsidRPr="005977F2">
        <w:rPr>
          <w:rFonts w:ascii="Times New Roman" w:hAnsi="Times New Roman" w:cs="Times New Roman"/>
          <w:sz w:val="20"/>
          <w:szCs w:val="20"/>
        </w:rPr>
        <w:t xml:space="preserve"> (pp. 394-410). Routledge. </w:t>
      </w:r>
      <w:r w:rsidRPr="005977F2">
        <w:rPr>
          <w:rFonts w:ascii="Times New Roman" w:hAnsi="Times New Roman" w:cs="Times New Roman"/>
          <w:sz w:val="20"/>
          <w:szCs w:val="20"/>
        </w:rPr>
        <w:tab/>
      </w:r>
    </w:p>
    <w:p w14:paraId="735FC053"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Major, L., Warwick, P., Rasmussen, I., Ludvigsen, S., &amp; Cook, V. (2018). Classroom dialogue and digital technologies: A scoping review. </w:t>
      </w:r>
      <w:r w:rsidRPr="005977F2">
        <w:rPr>
          <w:rFonts w:ascii="Times New Roman" w:hAnsi="Times New Roman" w:cs="Times New Roman"/>
          <w:i/>
          <w:sz w:val="20"/>
          <w:szCs w:val="20"/>
        </w:rPr>
        <w:t>Education and Information Technologies</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23</w:t>
      </w:r>
      <w:r w:rsidRPr="005977F2">
        <w:rPr>
          <w:rFonts w:ascii="Times New Roman" w:hAnsi="Times New Roman" w:cs="Times New Roman"/>
          <w:sz w:val="20"/>
          <w:szCs w:val="20"/>
        </w:rPr>
        <w:t xml:space="preserve">(5), 1995-2028. </w:t>
      </w:r>
      <w:r w:rsidRPr="005977F2">
        <w:rPr>
          <w:rFonts w:ascii="Times New Roman" w:hAnsi="Times New Roman" w:cs="Times New Roman"/>
          <w:sz w:val="20"/>
          <w:szCs w:val="20"/>
        </w:rPr>
        <w:tab/>
      </w:r>
    </w:p>
    <w:p w14:paraId="3B622F75"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Manca, S., &amp; Ranieri, M. (2013). Is it a tool suitable for learning? A critical review of the literature on F acebook as a technology‐enhanced learning environment. </w:t>
      </w:r>
      <w:r w:rsidRPr="005977F2">
        <w:rPr>
          <w:rFonts w:ascii="Times New Roman" w:hAnsi="Times New Roman" w:cs="Times New Roman"/>
          <w:i/>
          <w:sz w:val="20"/>
          <w:szCs w:val="20"/>
        </w:rPr>
        <w:t>Journal of Computer Assisted Learning</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29</w:t>
      </w:r>
      <w:r w:rsidRPr="005977F2">
        <w:rPr>
          <w:rFonts w:ascii="Times New Roman" w:hAnsi="Times New Roman" w:cs="Times New Roman"/>
          <w:sz w:val="20"/>
          <w:szCs w:val="20"/>
        </w:rPr>
        <w:t xml:space="preserve">(6), 487-504. </w:t>
      </w:r>
      <w:r w:rsidRPr="005977F2">
        <w:rPr>
          <w:rFonts w:ascii="Times New Roman" w:hAnsi="Times New Roman" w:cs="Times New Roman"/>
          <w:sz w:val="20"/>
          <w:szCs w:val="20"/>
        </w:rPr>
        <w:tab/>
      </w:r>
    </w:p>
    <w:p w14:paraId="40C3665C" w14:textId="05CDA038"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Maniram, R. (2018). </w:t>
      </w:r>
      <w:r w:rsidRPr="005977F2">
        <w:rPr>
          <w:rFonts w:ascii="Times New Roman" w:hAnsi="Times New Roman" w:cs="Times New Roman"/>
          <w:i/>
          <w:sz w:val="20"/>
          <w:szCs w:val="20"/>
        </w:rPr>
        <w:t>Epistemological access and authentic learning practice: a case study in hospitality financial management</w:t>
      </w:r>
      <w:r w:rsidRPr="005977F2">
        <w:rPr>
          <w:rFonts w:ascii="Times New Roman" w:hAnsi="Times New Roman" w:cs="Times New Roman"/>
          <w:sz w:val="20"/>
          <w:szCs w:val="20"/>
        </w:rPr>
        <w:t xml:space="preserve"> </w:t>
      </w:r>
    </w:p>
    <w:p w14:paraId="233A9C82"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Mao, J. (2014). Social media for learning: A mixed methods study on high school students’ technology affordances and perspectives. </w:t>
      </w:r>
      <w:r w:rsidRPr="005977F2">
        <w:rPr>
          <w:rFonts w:ascii="Times New Roman" w:hAnsi="Times New Roman" w:cs="Times New Roman"/>
          <w:i/>
          <w:sz w:val="20"/>
          <w:szCs w:val="20"/>
        </w:rPr>
        <w:t>Computers in Human Behavior</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33</w:t>
      </w:r>
      <w:r w:rsidRPr="005977F2">
        <w:rPr>
          <w:rFonts w:ascii="Times New Roman" w:hAnsi="Times New Roman" w:cs="Times New Roman"/>
          <w:sz w:val="20"/>
          <w:szCs w:val="20"/>
        </w:rPr>
        <w:t xml:space="preserve">, 213-223. </w:t>
      </w:r>
      <w:r w:rsidRPr="005977F2">
        <w:rPr>
          <w:rFonts w:ascii="Times New Roman" w:hAnsi="Times New Roman" w:cs="Times New Roman"/>
          <w:sz w:val="20"/>
          <w:szCs w:val="20"/>
        </w:rPr>
        <w:tab/>
      </w:r>
    </w:p>
    <w:p w14:paraId="1A92ECD6"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Mascheroni, G., &amp; Vincent, J. (2016). Perpetual contact as a communicative affordance: Opportunities, constraints, and emotions. </w:t>
      </w:r>
      <w:r w:rsidRPr="005977F2">
        <w:rPr>
          <w:rFonts w:ascii="Times New Roman" w:hAnsi="Times New Roman" w:cs="Times New Roman"/>
          <w:i/>
          <w:sz w:val="20"/>
          <w:szCs w:val="20"/>
        </w:rPr>
        <w:t>Mobile Media &amp; Communication</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4</w:t>
      </w:r>
      <w:r w:rsidRPr="005977F2">
        <w:rPr>
          <w:rFonts w:ascii="Times New Roman" w:hAnsi="Times New Roman" w:cs="Times New Roman"/>
          <w:sz w:val="20"/>
          <w:szCs w:val="20"/>
        </w:rPr>
        <w:t xml:space="preserve">(3), 310-326. </w:t>
      </w:r>
      <w:r w:rsidRPr="005977F2">
        <w:rPr>
          <w:rFonts w:ascii="Times New Roman" w:hAnsi="Times New Roman" w:cs="Times New Roman"/>
          <w:sz w:val="20"/>
          <w:szCs w:val="20"/>
        </w:rPr>
        <w:tab/>
      </w:r>
    </w:p>
    <w:p w14:paraId="11949DC5"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McKenna, B. (2020). Creating convivial affordances: A study of virtual world social movements. </w:t>
      </w:r>
      <w:r w:rsidRPr="005977F2">
        <w:rPr>
          <w:rFonts w:ascii="Times New Roman" w:hAnsi="Times New Roman" w:cs="Times New Roman"/>
          <w:i/>
          <w:sz w:val="20"/>
          <w:szCs w:val="20"/>
        </w:rPr>
        <w:t>Information Systems Journal</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30</w:t>
      </w:r>
      <w:r w:rsidRPr="005977F2">
        <w:rPr>
          <w:rFonts w:ascii="Times New Roman" w:hAnsi="Times New Roman" w:cs="Times New Roman"/>
          <w:sz w:val="20"/>
          <w:szCs w:val="20"/>
        </w:rPr>
        <w:t xml:space="preserve">(1), 185-214. </w:t>
      </w:r>
      <w:hyperlink r:id="rId29" w:history="1">
        <w:r w:rsidRPr="005977F2">
          <w:rPr>
            <w:rStyle w:val="Hyperlink"/>
            <w:rFonts w:ascii="Times New Roman" w:hAnsi="Times New Roman" w:cs="Times New Roman"/>
            <w:sz w:val="20"/>
            <w:szCs w:val="20"/>
          </w:rPr>
          <w:t>https://doi.org/https://doi.org/10.1111/isj.12256</w:t>
        </w:r>
      </w:hyperlink>
      <w:r w:rsidRPr="005977F2">
        <w:rPr>
          <w:rFonts w:ascii="Times New Roman" w:hAnsi="Times New Roman" w:cs="Times New Roman"/>
          <w:sz w:val="20"/>
          <w:szCs w:val="20"/>
        </w:rPr>
        <w:t xml:space="preserve"> </w:t>
      </w:r>
      <w:r w:rsidRPr="005977F2">
        <w:rPr>
          <w:rFonts w:ascii="Times New Roman" w:hAnsi="Times New Roman" w:cs="Times New Roman"/>
          <w:sz w:val="20"/>
          <w:szCs w:val="20"/>
        </w:rPr>
        <w:tab/>
      </w:r>
    </w:p>
    <w:p w14:paraId="6667F22F"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Mistri, G. U. (2016). </w:t>
      </w:r>
      <w:r w:rsidRPr="005977F2">
        <w:rPr>
          <w:rFonts w:ascii="Times New Roman" w:hAnsi="Times New Roman" w:cs="Times New Roman"/>
          <w:i/>
          <w:sz w:val="20"/>
          <w:szCs w:val="20"/>
        </w:rPr>
        <w:t>A social realist analysis of participation in academic professional development for the integration of digital technologies in higher education</w:t>
      </w:r>
      <w:r w:rsidRPr="005977F2">
        <w:rPr>
          <w:rFonts w:ascii="Times New Roman" w:hAnsi="Times New Roman" w:cs="Times New Roman"/>
          <w:sz w:val="20"/>
          <w:szCs w:val="20"/>
        </w:rPr>
        <w:t xml:space="preserve"> Rhodes University]. </w:t>
      </w:r>
      <w:r w:rsidRPr="005977F2">
        <w:rPr>
          <w:rFonts w:ascii="Times New Roman" w:hAnsi="Times New Roman" w:cs="Times New Roman"/>
          <w:sz w:val="20"/>
          <w:szCs w:val="20"/>
        </w:rPr>
        <w:tab/>
      </w:r>
    </w:p>
    <w:p w14:paraId="3CC2DEF3"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lastRenderedPageBreak/>
        <w:t xml:space="preserve">Mohammadi, M. K., Mohibbi, A. A., &amp; Hedayati, M. H. (2021). Investigating the challenges and factors influencing the use of the learning management system during the Covid-19 pandemic in Afghanistan. </w:t>
      </w:r>
      <w:r w:rsidRPr="005977F2">
        <w:rPr>
          <w:rFonts w:ascii="Times New Roman" w:hAnsi="Times New Roman" w:cs="Times New Roman"/>
          <w:i/>
          <w:sz w:val="20"/>
          <w:szCs w:val="20"/>
        </w:rPr>
        <w:t>Education and Information Technologies</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26</w:t>
      </w:r>
      <w:r w:rsidRPr="005977F2">
        <w:rPr>
          <w:rFonts w:ascii="Times New Roman" w:hAnsi="Times New Roman" w:cs="Times New Roman"/>
          <w:sz w:val="20"/>
          <w:szCs w:val="20"/>
        </w:rPr>
        <w:t xml:space="preserve">(5), 5165-5198. </w:t>
      </w:r>
      <w:r w:rsidRPr="005977F2">
        <w:rPr>
          <w:rFonts w:ascii="Times New Roman" w:hAnsi="Times New Roman" w:cs="Times New Roman"/>
          <w:sz w:val="20"/>
          <w:szCs w:val="20"/>
        </w:rPr>
        <w:tab/>
      </w:r>
    </w:p>
    <w:p w14:paraId="1AEFDD02"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Mohammed, S. (2019). Is technology good or bad for learning. </w:t>
      </w:r>
      <w:r w:rsidRPr="005977F2">
        <w:rPr>
          <w:rFonts w:ascii="Times New Roman" w:hAnsi="Times New Roman" w:cs="Times New Roman"/>
          <w:i/>
          <w:sz w:val="20"/>
          <w:szCs w:val="20"/>
        </w:rPr>
        <w:t>Brown Center</w:t>
      </w:r>
      <w:r w:rsidRPr="005977F2">
        <w:rPr>
          <w:rFonts w:ascii="Times New Roman" w:hAnsi="Times New Roman" w:cs="Times New Roman"/>
          <w:sz w:val="20"/>
          <w:szCs w:val="20"/>
        </w:rPr>
        <w:t xml:space="preserve">. </w:t>
      </w:r>
      <w:r w:rsidRPr="005977F2">
        <w:rPr>
          <w:rFonts w:ascii="Times New Roman" w:hAnsi="Times New Roman" w:cs="Times New Roman"/>
          <w:sz w:val="20"/>
          <w:szCs w:val="20"/>
        </w:rPr>
        <w:tab/>
      </w:r>
    </w:p>
    <w:p w14:paraId="7EFE4933"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Morrow, W. (1994). Entitlement and achievement in education. </w:t>
      </w:r>
      <w:r w:rsidRPr="005977F2">
        <w:rPr>
          <w:rFonts w:ascii="Times New Roman" w:hAnsi="Times New Roman" w:cs="Times New Roman"/>
          <w:i/>
          <w:sz w:val="20"/>
          <w:szCs w:val="20"/>
        </w:rPr>
        <w:t>Studies in philosophy and education</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13</w:t>
      </w:r>
      <w:r w:rsidRPr="005977F2">
        <w:rPr>
          <w:rFonts w:ascii="Times New Roman" w:hAnsi="Times New Roman" w:cs="Times New Roman"/>
          <w:sz w:val="20"/>
          <w:szCs w:val="20"/>
        </w:rPr>
        <w:t xml:space="preserve">(1), 33-47. </w:t>
      </w:r>
      <w:r w:rsidRPr="005977F2">
        <w:rPr>
          <w:rFonts w:ascii="Times New Roman" w:hAnsi="Times New Roman" w:cs="Times New Roman"/>
          <w:sz w:val="20"/>
          <w:szCs w:val="20"/>
        </w:rPr>
        <w:tab/>
      </w:r>
    </w:p>
    <w:p w14:paraId="69536ADA"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Myers, L. P. (2019). A social realist account of constraints and enablements navigated by South African students during the four year professional accounting programme at Rhodes University, South Africa. </w:t>
      </w:r>
      <w:r w:rsidRPr="005977F2">
        <w:rPr>
          <w:rFonts w:ascii="Times New Roman" w:hAnsi="Times New Roman" w:cs="Times New Roman"/>
          <w:sz w:val="20"/>
          <w:szCs w:val="20"/>
        </w:rPr>
        <w:tab/>
      </w:r>
    </w:p>
    <w:p w14:paraId="1A71B1CE"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Nur'Aini, S. (2021). University Students’ Learning Disruption and Affordance in a Contested Learning Environment. </w:t>
      </w:r>
      <w:r w:rsidRPr="005977F2">
        <w:rPr>
          <w:rFonts w:ascii="Times New Roman" w:hAnsi="Times New Roman" w:cs="Times New Roman"/>
          <w:i/>
          <w:sz w:val="20"/>
          <w:szCs w:val="20"/>
        </w:rPr>
        <w:t>Research in Social Sciences and Technology</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6</w:t>
      </w:r>
      <w:r w:rsidRPr="005977F2">
        <w:rPr>
          <w:rFonts w:ascii="Times New Roman" w:hAnsi="Times New Roman" w:cs="Times New Roman"/>
          <w:sz w:val="20"/>
          <w:szCs w:val="20"/>
        </w:rPr>
        <w:t xml:space="preserve">(3), 25-44. </w:t>
      </w:r>
      <w:r w:rsidRPr="005977F2">
        <w:rPr>
          <w:rFonts w:ascii="Times New Roman" w:hAnsi="Times New Roman" w:cs="Times New Roman"/>
          <w:sz w:val="20"/>
          <w:szCs w:val="20"/>
        </w:rPr>
        <w:tab/>
      </w:r>
    </w:p>
    <w:p w14:paraId="575E7157"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Payton, F. C., &amp; Kvasny, L. (2016). Online HIV awareness and technology affordance benefits for black female collegians—maybe not: the case of stigma. </w:t>
      </w:r>
      <w:r w:rsidRPr="005977F2">
        <w:rPr>
          <w:rFonts w:ascii="Times New Roman" w:hAnsi="Times New Roman" w:cs="Times New Roman"/>
          <w:i/>
          <w:sz w:val="20"/>
          <w:szCs w:val="20"/>
        </w:rPr>
        <w:t>Journal of the American Medical Informatics Association</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23</w:t>
      </w:r>
      <w:r w:rsidRPr="005977F2">
        <w:rPr>
          <w:rFonts w:ascii="Times New Roman" w:hAnsi="Times New Roman" w:cs="Times New Roman"/>
          <w:sz w:val="20"/>
          <w:szCs w:val="20"/>
        </w:rPr>
        <w:t xml:space="preserve">(6), 1121-1126. </w:t>
      </w:r>
      <w:r w:rsidRPr="005977F2">
        <w:rPr>
          <w:rFonts w:ascii="Times New Roman" w:hAnsi="Times New Roman" w:cs="Times New Roman"/>
          <w:sz w:val="20"/>
          <w:szCs w:val="20"/>
        </w:rPr>
        <w:tab/>
      </w:r>
    </w:p>
    <w:p w14:paraId="711525AE"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Place, K. R. (2019). Exploring digital, social and mobile dialogic engagement with low-income publics. </w:t>
      </w:r>
      <w:r w:rsidRPr="005977F2">
        <w:rPr>
          <w:rFonts w:ascii="Times New Roman" w:hAnsi="Times New Roman" w:cs="Times New Roman"/>
          <w:i/>
          <w:sz w:val="20"/>
          <w:szCs w:val="20"/>
        </w:rPr>
        <w:t>Public Relations Journal</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12</w:t>
      </w:r>
      <w:r w:rsidRPr="005977F2">
        <w:rPr>
          <w:rFonts w:ascii="Times New Roman" w:hAnsi="Times New Roman" w:cs="Times New Roman"/>
          <w:sz w:val="20"/>
          <w:szCs w:val="20"/>
        </w:rPr>
        <w:t xml:space="preserve">(4), 1-17. </w:t>
      </w:r>
      <w:r w:rsidRPr="005977F2">
        <w:rPr>
          <w:rFonts w:ascii="Times New Roman" w:hAnsi="Times New Roman" w:cs="Times New Roman"/>
          <w:sz w:val="20"/>
          <w:szCs w:val="20"/>
        </w:rPr>
        <w:tab/>
      </w:r>
    </w:p>
    <w:p w14:paraId="5353829D"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Rahimi, E., van den Berg, J., &amp; Veen, W. (2015). A learning model for enhancing the student's control in educational process using W eb 2.0 personal learning environments. </w:t>
      </w:r>
      <w:r w:rsidRPr="005977F2">
        <w:rPr>
          <w:rFonts w:ascii="Times New Roman" w:hAnsi="Times New Roman" w:cs="Times New Roman"/>
          <w:i/>
          <w:sz w:val="20"/>
          <w:szCs w:val="20"/>
        </w:rPr>
        <w:t>British Journal of Educational Technology</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46</w:t>
      </w:r>
      <w:r w:rsidRPr="005977F2">
        <w:rPr>
          <w:rFonts w:ascii="Times New Roman" w:hAnsi="Times New Roman" w:cs="Times New Roman"/>
          <w:sz w:val="20"/>
          <w:szCs w:val="20"/>
        </w:rPr>
        <w:t xml:space="preserve">(4), 780-792. </w:t>
      </w:r>
      <w:r w:rsidRPr="005977F2">
        <w:rPr>
          <w:rFonts w:ascii="Times New Roman" w:hAnsi="Times New Roman" w:cs="Times New Roman"/>
          <w:sz w:val="20"/>
          <w:szCs w:val="20"/>
        </w:rPr>
        <w:tab/>
      </w:r>
    </w:p>
    <w:p w14:paraId="45C6AB5C"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Ravasi, D., &amp; Phillips, N. (2011). Strategies of alignment: Organizational identity management and strategic change at Bang &amp; Olufsen. </w:t>
      </w:r>
      <w:r w:rsidRPr="005977F2">
        <w:rPr>
          <w:rFonts w:ascii="Times New Roman" w:hAnsi="Times New Roman" w:cs="Times New Roman"/>
          <w:i/>
          <w:sz w:val="20"/>
          <w:szCs w:val="20"/>
        </w:rPr>
        <w:t>Strategic Organization</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9</w:t>
      </w:r>
      <w:r w:rsidRPr="005977F2">
        <w:rPr>
          <w:rFonts w:ascii="Times New Roman" w:hAnsi="Times New Roman" w:cs="Times New Roman"/>
          <w:sz w:val="20"/>
          <w:szCs w:val="20"/>
        </w:rPr>
        <w:t xml:space="preserve">(2), 103-135. </w:t>
      </w:r>
      <w:r w:rsidRPr="005977F2">
        <w:rPr>
          <w:rFonts w:ascii="Times New Roman" w:hAnsi="Times New Roman" w:cs="Times New Roman"/>
          <w:sz w:val="20"/>
          <w:szCs w:val="20"/>
        </w:rPr>
        <w:tab/>
      </w:r>
    </w:p>
    <w:p w14:paraId="71A8B898"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Roberts, N., Galluch, P. S., Dinger, M., &amp; Grover, V. (2012). Absorptive capacity and information systems research: Review, synthesis, and directions for future research. </w:t>
      </w:r>
      <w:r w:rsidRPr="005977F2">
        <w:rPr>
          <w:rFonts w:ascii="Times New Roman" w:hAnsi="Times New Roman" w:cs="Times New Roman"/>
          <w:i/>
          <w:sz w:val="20"/>
          <w:szCs w:val="20"/>
        </w:rPr>
        <w:t>MIS Quarterly</w:t>
      </w:r>
      <w:r w:rsidRPr="005977F2">
        <w:rPr>
          <w:rFonts w:ascii="Times New Roman" w:hAnsi="Times New Roman" w:cs="Times New Roman"/>
          <w:sz w:val="20"/>
          <w:szCs w:val="20"/>
        </w:rPr>
        <w:t xml:space="preserve">, 625-648. </w:t>
      </w:r>
      <w:r w:rsidRPr="005977F2">
        <w:rPr>
          <w:rFonts w:ascii="Times New Roman" w:hAnsi="Times New Roman" w:cs="Times New Roman"/>
          <w:sz w:val="20"/>
          <w:szCs w:val="20"/>
        </w:rPr>
        <w:tab/>
      </w:r>
    </w:p>
    <w:p w14:paraId="70BE86B1"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Rodríguez-Hidalgo, C. (2020). Me and my robot smiled at one another: The process of socially enacted communicative affordance in human-machine communication. </w:t>
      </w:r>
      <w:r w:rsidRPr="005977F2">
        <w:rPr>
          <w:rFonts w:ascii="Times New Roman" w:hAnsi="Times New Roman" w:cs="Times New Roman"/>
          <w:i/>
          <w:sz w:val="20"/>
          <w:szCs w:val="20"/>
        </w:rPr>
        <w:t>Human-Machine Communication</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1</w:t>
      </w:r>
      <w:r w:rsidRPr="005977F2">
        <w:rPr>
          <w:rFonts w:ascii="Times New Roman" w:hAnsi="Times New Roman" w:cs="Times New Roman"/>
          <w:sz w:val="20"/>
          <w:szCs w:val="20"/>
        </w:rPr>
        <w:t xml:space="preserve">, 55-69. </w:t>
      </w:r>
      <w:r w:rsidRPr="005977F2">
        <w:rPr>
          <w:rFonts w:ascii="Times New Roman" w:hAnsi="Times New Roman" w:cs="Times New Roman"/>
          <w:sz w:val="20"/>
          <w:szCs w:val="20"/>
        </w:rPr>
        <w:tab/>
      </w:r>
    </w:p>
    <w:p w14:paraId="58422EA8"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Samaniego-Erazo, G., Esteve-González, V., &amp; Vaca, B. (2015). Teaching and Learning in digital worlds: strategies and issues in higher education. </w:t>
      </w:r>
      <w:r w:rsidRPr="005977F2">
        <w:rPr>
          <w:rFonts w:ascii="Times New Roman" w:hAnsi="Times New Roman" w:cs="Times New Roman"/>
          <w:i/>
          <w:sz w:val="20"/>
          <w:szCs w:val="20"/>
        </w:rPr>
        <w:t>MB Mercè Gisbert (Ed.), Teaching and Learning in Digital World: Strategies and Issues in Higher Education</w:t>
      </w:r>
      <w:r w:rsidRPr="005977F2">
        <w:rPr>
          <w:rFonts w:ascii="Times New Roman" w:hAnsi="Times New Roman" w:cs="Times New Roman"/>
          <w:sz w:val="20"/>
          <w:szCs w:val="20"/>
        </w:rPr>
        <w:t xml:space="preserve">, 129-136. </w:t>
      </w:r>
      <w:r w:rsidRPr="005977F2">
        <w:rPr>
          <w:rFonts w:ascii="Times New Roman" w:hAnsi="Times New Roman" w:cs="Times New Roman"/>
          <w:sz w:val="20"/>
          <w:szCs w:val="20"/>
        </w:rPr>
        <w:tab/>
      </w:r>
    </w:p>
    <w:p w14:paraId="7E04D4B2"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Sams, A., &amp; Bergmann, J. (2013). Flip your students' learning. </w:t>
      </w:r>
      <w:r w:rsidRPr="005977F2">
        <w:rPr>
          <w:rFonts w:ascii="Times New Roman" w:hAnsi="Times New Roman" w:cs="Times New Roman"/>
          <w:i/>
          <w:sz w:val="20"/>
          <w:szCs w:val="20"/>
        </w:rPr>
        <w:t>Educational leadership</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70</w:t>
      </w:r>
      <w:r w:rsidRPr="005977F2">
        <w:rPr>
          <w:rFonts w:ascii="Times New Roman" w:hAnsi="Times New Roman" w:cs="Times New Roman"/>
          <w:sz w:val="20"/>
          <w:szCs w:val="20"/>
        </w:rPr>
        <w:t xml:space="preserve">(6), 16-20. </w:t>
      </w:r>
      <w:r w:rsidRPr="005977F2">
        <w:rPr>
          <w:rFonts w:ascii="Times New Roman" w:hAnsi="Times New Roman" w:cs="Times New Roman"/>
          <w:sz w:val="20"/>
          <w:szCs w:val="20"/>
        </w:rPr>
        <w:tab/>
      </w:r>
    </w:p>
    <w:p w14:paraId="1A609F90"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Schryen, G. (2015). Writing qualitative is literature reviews—guidelines for synthesis, interpretation, and guidance of research. </w:t>
      </w:r>
      <w:r w:rsidRPr="005977F2">
        <w:rPr>
          <w:rFonts w:ascii="Times New Roman" w:hAnsi="Times New Roman" w:cs="Times New Roman"/>
          <w:i/>
          <w:sz w:val="20"/>
          <w:szCs w:val="20"/>
        </w:rPr>
        <w:t>Communications of the Association for Information Systems</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37</w:t>
      </w:r>
      <w:r w:rsidRPr="005977F2">
        <w:rPr>
          <w:rFonts w:ascii="Times New Roman" w:hAnsi="Times New Roman" w:cs="Times New Roman"/>
          <w:sz w:val="20"/>
          <w:szCs w:val="20"/>
        </w:rPr>
        <w:t xml:space="preserve">(1), 12. </w:t>
      </w:r>
      <w:r w:rsidRPr="005977F2">
        <w:rPr>
          <w:rFonts w:ascii="Times New Roman" w:hAnsi="Times New Roman" w:cs="Times New Roman"/>
          <w:sz w:val="20"/>
          <w:szCs w:val="20"/>
        </w:rPr>
        <w:tab/>
      </w:r>
    </w:p>
    <w:p w14:paraId="476D196B"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Webster, J., &amp; Watson, R. T. (2002). Analyzing the past to prepare for the future: Writing a literature review. </w:t>
      </w:r>
      <w:r w:rsidRPr="005977F2">
        <w:rPr>
          <w:rFonts w:ascii="Times New Roman" w:hAnsi="Times New Roman" w:cs="Times New Roman"/>
          <w:i/>
          <w:sz w:val="20"/>
          <w:szCs w:val="20"/>
        </w:rPr>
        <w:t>MIS Quarterly</w:t>
      </w:r>
      <w:r w:rsidRPr="005977F2">
        <w:rPr>
          <w:rFonts w:ascii="Times New Roman" w:hAnsi="Times New Roman" w:cs="Times New Roman"/>
          <w:sz w:val="20"/>
          <w:szCs w:val="20"/>
        </w:rPr>
        <w:t xml:space="preserve">, xiii-xxiii. </w:t>
      </w:r>
      <w:r w:rsidRPr="005977F2">
        <w:rPr>
          <w:rFonts w:ascii="Times New Roman" w:hAnsi="Times New Roman" w:cs="Times New Roman"/>
          <w:sz w:val="20"/>
          <w:szCs w:val="20"/>
        </w:rPr>
        <w:tab/>
      </w:r>
    </w:p>
    <w:p w14:paraId="3F74F2C4"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Wendt, C., Kalgovas, B., &amp; Benlian, A. (2022). Adoption of Immersive Technologies in Manufacturing SMEs–A Strategy-as-Practice Perspective on their Affordances, Constraints and Responses. Proceedings of the 55th Hawaii International Conference on System Sciences, </w:t>
      </w:r>
      <w:r w:rsidRPr="005977F2">
        <w:rPr>
          <w:rFonts w:ascii="Times New Roman" w:hAnsi="Times New Roman" w:cs="Times New Roman"/>
          <w:sz w:val="20"/>
          <w:szCs w:val="20"/>
        </w:rPr>
        <w:tab/>
      </w:r>
    </w:p>
    <w:p w14:paraId="04921B54"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Wiener, M., Mähring, M., Remus, U., &amp; Saunders, C. (2016). Control Configuration and Control Enactment in Information Systems Projects. </w:t>
      </w:r>
      <w:r w:rsidRPr="005977F2">
        <w:rPr>
          <w:rFonts w:ascii="Times New Roman" w:hAnsi="Times New Roman" w:cs="Times New Roman"/>
          <w:i/>
          <w:sz w:val="20"/>
          <w:szCs w:val="20"/>
        </w:rPr>
        <w:t>MIS Quarterly</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40</w:t>
      </w:r>
      <w:r w:rsidRPr="005977F2">
        <w:rPr>
          <w:rFonts w:ascii="Times New Roman" w:hAnsi="Times New Roman" w:cs="Times New Roman"/>
          <w:sz w:val="20"/>
          <w:szCs w:val="20"/>
        </w:rPr>
        <w:t xml:space="preserve">(3), 741-774. </w:t>
      </w:r>
      <w:r w:rsidRPr="005977F2">
        <w:rPr>
          <w:rFonts w:ascii="Times New Roman" w:hAnsi="Times New Roman" w:cs="Times New Roman"/>
          <w:sz w:val="20"/>
          <w:szCs w:val="20"/>
        </w:rPr>
        <w:tab/>
      </w:r>
    </w:p>
    <w:p w14:paraId="742F1BFC"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Wijekummar, K., Meyer, B., Wagoner, D., &amp; Fergusin, L. (2006). Technology affordances: the ‘real story’ in research with K-12 and undergraduate learners. </w:t>
      </w:r>
      <w:r w:rsidRPr="005977F2">
        <w:rPr>
          <w:rFonts w:ascii="Times New Roman" w:hAnsi="Times New Roman" w:cs="Times New Roman"/>
          <w:i/>
          <w:sz w:val="20"/>
          <w:szCs w:val="20"/>
        </w:rPr>
        <w:t>British Journal of Educational Technology</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37</w:t>
      </w:r>
      <w:r w:rsidRPr="005977F2">
        <w:rPr>
          <w:rFonts w:ascii="Times New Roman" w:hAnsi="Times New Roman" w:cs="Times New Roman"/>
          <w:sz w:val="20"/>
          <w:szCs w:val="20"/>
        </w:rPr>
        <w:t xml:space="preserve">(2), 18. </w:t>
      </w:r>
      <w:hyperlink r:id="rId30" w:history="1">
        <w:r w:rsidRPr="005977F2">
          <w:rPr>
            <w:rStyle w:val="Hyperlink"/>
            <w:rFonts w:ascii="Times New Roman" w:hAnsi="Times New Roman" w:cs="Times New Roman"/>
            <w:sz w:val="20"/>
            <w:szCs w:val="20"/>
          </w:rPr>
          <w:t>https://doi.org/doi:10.1111/j.1467-8535.2005.00528.x</w:t>
        </w:r>
      </w:hyperlink>
      <w:r w:rsidRPr="005977F2">
        <w:rPr>
          <w:rFonts w:ascii="Times New Roman" w:hAnsi="Times New Roman" w:cs="Times New Roman"/>
          <w:sz w:val="20"/>
          <w:szCs w:val="20"/>
        </w:rPr>
        <w:t xml:space="preserve"> </w:t>
      </w:r>
      <w:r w:rsidRPr="005977F2">
        <w:rPr>
          <w:rFonts w:ascii="Times New Roman" w:hAnsi="Times New Roman" w:cs="Times New Roman"/>
          <w:sz w:val="20"/>
          <w:szCs w:val="20"/>
        </w:rPr>
        <w:tab/>
      </w:r>
    </w:p>
    <w:p w14:paraId="4E5194C6"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Willey, M. (2007). Learning to teach in South Africa. </w:t>
      </w:r>
      <w:r w:rsidRPr="005977F2">
        <w:rPr>
          <w:rFonts w:ascii="Times New Roman" w:hAnsi="Times New Roman" w:cs="Times New Roman"/>
          <w:sz w:val="20"/>
          <w:szCs w:val="20"/>
        </w:rPr>
        <w:tab/>
      </w:r>
    </w:p>
    <w:p w14:paraId="2AC53E15"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Wyche, S., &amp; Steinfield, C. (2016). Why don't farmers use cell phones to access market prices? Technology affordances and barriers to market information services adoption in rural Kenya. </w:t>
      </w:r>
      <w:r w:rsidRPr="005977F2">
        <w:rPr>
          <w:rFonts w:ascii="Times New Roman" w:hAnsi="Times New Roman" w:cs="Times New Roman"/>
          <w:i/>
          <w:sz w:val="20"/>
          <w:szCs w:val="20"/>
        </w:rPr>
        <w:t>Information Technology for Development</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22</w:t>
      </w:r>
      <w:r w:rsidRPr="005977F2">
        <w:rPr>
          <w:rFonts w:ascii="Times New Roman" w:hAnsi="Times New Roman" w:cs="Times New Roman"/>
          <w:sz w:val="20"/>
          <w:szCs w:val="20"/>
        </w:rPr>
        <w:t xml:space="preserve">(2), 320-333. </w:t>
      </w:r>
      <w:r w:rsidRPr="005977F2">
        <w:rPr>
          <w:rFonts w:ascii="Times New Roman" w:hAnsi="Times New Roman" w:cs="Times New Roman"/>
          <w:sz w:val="20"/>
          <w:szCs w:val="20"/>
        </w:rPr>
        <w:tab/>
      </w:r>
    </w:p>
    <w:p w14:paraId="6BEB7069"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Xiangming, L., &amp; Song, S. (2018). Mobile technology affordance and its social implications: A case of “Rain Classroom”. </w:t>
      </w:r>
      <w:r w:rsidRPr="005977F2">
        <w:rPr>
          <w:rFonts w:ascii="Times New Roman" w:hAnsi="Times New Roman" w:cs="Times New Roman"/>
          <w:i/>
          <w:sz w:val="20"/>
          <w:szCs w:val="20"/>
        </w:rPr>
        <w:t>British Journal of Educational Technology</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49</w:t>
      </w:r>
      <w:r w:rsidRPr="005977F2">
        <w:rPr>
          <w:rFonts w:ascii="Times New Roman" w:hAnsi="Times New Roman" w:cs="Times New Roman"/>
          <w:sz w:val="20"/>
          <w:szCs w:val="20"/>
        </w:rPr>
        <w:t xml:space="preserve">(2), 276-291. </w:t>
      </w:r>
      <w:r w:rsidRPr="005977F2">
        <w:rPr>
          <w:rFonts w:ascii="Times New Roman" w:hAnsi="Times New Roman" w:cs="Times New Roman"/>
          <w:sz w:val="20"/>
          <w:szCs w:val="20"/>
        </w:rPr>
        <w:tab/>
      </w:r>
    </w:p>
    <w:p w14:paraId="4244629B"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Young, F., &amp; Cleveland, B. (2022). Affordances, Architecture and the Action Possibilities of Learning Environments: A Critical Review of the Literature and Future Directions. </w:t>
      </w:r>
      <w:r w:rsidRPr="005977F2">
        <w:rPr>
          <w:rFonts w:ascii="Times New Roman" w:hAnsi="Times New Roman" w:cs="Times New Roman"/>
          <w:i/>
          <w:sz w:val="20"/>
          <w:szCs w:val="20"/>
        </w:rPr>
        <w:t>Buildings</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12</w:t>
      </w:r>
      <w:r w:rsidRPr="005977F2">
        <w:rPr>
          <w:rFonts w:ascii="Times New Roman" w:hAnsi="Times New Roman" w:cs="Times New Roman"/>
          <w:sz w:val="20"/>
          <w:szCs w:val="20"/>
        </w:rPr>
        <w:t xml:space="preserve">(1), 76. </w:t>
      </w:r>
      <w:r w:rsidRPr="005977F2">
        <w:rPr>
          <w:rFonts w:ascii="Times New Roman" w:hAnsi="Times New Roman" w:cs="Times New Roman"/>
          <w:sz w:val="20"/>
          <w:szCs w:val="20"/>
        </w:rPr>
        <w:tab/>
      </w:r>
    </w:p>
    <w:p w14:paraId="5487B4E4"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Zafarullah, S., Mumtaz, K., Murad, P. U., Abida, S., &amp; Humera, S. (2016). Teachers' time management and the performance of students: A comparison of government and private schools of Hyderabad, Sindh, Pakistan. </w:t>
      </w:r>
      <w:r w:rsidRPr="005977F2">
        <w:rPr>
          <w:rFonts w:ascii="Times New Roman" w:hAnsi="Times New Roman" w:cs="Times New Roman"/>
          <w:sz w:val="20"/>
          <w:szCs w:val="20"/>
        </w:rPr>
        <w:tab/>
      </w:r>
    </w:p>
    <w:p w14:paraId="75336DD6"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Zaka, P. (2012). Meaningful learning with technology. </w:t>
      </w:r>
      <w:r w:rsidRPr="005977F2">
        <w:rPr>
          <w:rFonts w:ascii="Times New Roman" w:hAnsi="Times New Roman" w:cs="Times New Roman"/>
          <w:i/>
          <w:sz w:val="20"/>
          <w:szCs w:val="20"/>
        </w:rPr>
        <w:t>Journal of Open, Flexible and Distance Learning</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16</w:t>
      </w:r>
      <w:r w:rsidRPr="005977F2">
        <w:rPr>
          <w:rFonts w:ascii="Times New Roman" w:hAnsi="Times New Roman" w:cs="Times New Roman"/>
          <w:sz w:val="20"/>
          <w:szCs w:val="20"/>
        </w:rPr>
        <w:t xml:space="preserve">(2), 46-48. </w:t>
      </w:r>
      <w:r w:rsidRPr="005977F2">
        <w:rPr>
          <w:rFonts w:ascii="Times New Roman" w:hAnsi="Times New Roman" w:cs="Times New Roman"/>
          <w:sz w:val="20"/>
          <w:szCs w:val="20"/>
        </w:rPr>
        <w:tab/>
      </w:r>
    </w:p>
    <w:p w14:paraId="510990DE" w14:textId="77777777" w:rsidR="00B70B8D" w:rsidRPr="005977F2" w:rsidRDefault="00397AB8" w:rsidP="005977F2">
      <w:pPr>
        <w:pStyle w:val="EndNoteBibliography"/>
        <w:spacing w:after="0"/>
        <w:ind w:leftChars="0" w:left="0" w:firstLineChars="0" w:firstLine="0"/>
        <w:rPr>
          <w:rFonts w:ascii="Times New Roman" w:hAnsi="Times New Roman" w:cs="Times New Roman"/>
          <w:sz w:val="20"/>
          <w:szCs w:val="20"/>
        </w:rPr>
      </w:pPr>
      <w:r w:rsidRPr="005977F2">
        <w:rPr>
          <w:rFonts w:ascii="Times New Roman" w:hAnsi="Times New Roman" w:cs="Times New Roman"/>
          <w:sz w:val="20"/>
          <w:szCs w:val="20"/>
        </w:rPr>
        <w:t xml:space="preserve">Zhao, Y. C., Zhang, Y., Tang, J., &amp; Song, S. (2021). Affordances for information practices: theorizing   engagement among people, technology, and sociocultural environments. </w:t>
      </w:r>
      <w:r w:rsidRPr="005977F2">
        <w:rPr>
          <w:rFonts w:ascii="Times New Roman" w:hAnsi="Times New Roman" w:cs="Times New Roman"/>
          <w:i/>
          <w:sz w:val="20"/>
          <w:szCs w:val="20"/>
        </w:rPr>
        <w:t>Journal of Documentation</w:t>
      </w:r>
      <w:r w:rsidRPr="005977F2">
        <w:rPr>
          <w:rFonts w:ascii="Times New Roman" w:hAnsi="Times New Roman" w:cs="Times New Roman"/>
          <w:sz w:val="20"/>
          <w:szCs w:val="20"/>
        </w:rPr>
        <w:t>,</w:t>
      </w:r>
      <w:r w:rsidRPr="005977F2">
        <w:rPr>
          <w:rFonts w:ascii="Times New Roman" w:hAnsi="Times New Roman" w:cs="Times New Roman"/>
          <w:i/>
          <w:sz w:val="20"/>
          <w:szCs w:val="20"/>
        </w:rPr>
        <w:t xml:space="preserve"> 77</w:t>
      </w:r>
      <w:r w:rsidRPr="005977F2">
        <w:rPr>
          <w:rFonts w:ascii="Times New Roman" w:hAnsi="Times New Roman" w:cs="Times New Roman"/>
          <w:sz w:val="20"/>
          <w:szCs w:val="20"/>
        </w:rPr>
        <w:t xml:space="preserve">(1), 229-250. </w:t>
      </w:r>
      <w:hyperlink r:id="rId31" w:history="1">
        <w:r w:rsidRPr="005977F2">
          <w:rPr>
            <w:rStyle w:val="Hyperlink"/>
            <w:rFonts w:ascii="Times New Roman" w:hAnsi="Times New Roman" w:cs="Times New Roman"/>
            <w:sz w:val="20"/>
            <w:szCs w:val="20"/>
          </w:rPr>
          <w:t>https://doi.org/10.1108/JD-05-2020-0078</w:t>
        </w:r>
      </w:hyperlink>
      <w:r w:rsidRPr="005977F2">
        <w:rPr>
          <w:rFonts w:ascii="Times New Roman" w:hAnsi="Times New Roman" w:cs="Times New Roman"/>
          <w:sz w:val="20"/>
          <w:szCs w:val="20"/>
        </w:rPr>
        <w:t xml:space="preserve"> </w:t>
      </w:r>
      <w:r w:rsidRPr="005977F2">
        <w:rPr>
          <w:rFonts w:ascii="Times New Roman" w:hAnsi="Times New Roman" w:cs="Times New Roman"/>
          <w:sz w:val="20"/>
          <w:szCs w:val="20"/>
        </w:rPr>
        <w:tab/>
      </w:r>
    </w:p>
    <w:p w14:paraId="770784AA" w14:textId="77777777" w:rsidR="00B70B8D" w:rsidRPr="005B5164" w:rsidRDefault="00397AB8" w:rsidP="005977F2">
      <w:pPr>
        <w:spacing w:after="0" w:line="240" w:lineRule="auto"/>
        <w:ind w:leftChars="0" w:left="0" w:firstLineChars="0" w:firstLine="0"/>
        <w:jc w:val="both"/>
        <w:rPr>
          <w:rFonts w:ascii="Times New Roman" w:hAnsi="Times New Roman" w:cs="Times New Roman"/>
          <w:b/>
          <w:bCs/>
          <w:sz w:val="20"/>
          <w:szCs w:val="20"/>
        </w:rPr>
      </w:pPr>
      <w:r w:rsidRPr="005977F2">
        <w:rPr>
          <w:rFonts w:ascii="Times New Roman" w:hAnsi="Times New Roman" w:cs="Times New Roman"/>
          <w:b/>
          <w:bCs/>
          <w:sz w:val="20"/>
          <w:szCs w:val="20"/>
        </w:rPr>
        <w:fldChar w:fldCharType="end"/>
      </w:r>
    </w:p>
    <w:sectPr w:rsidR="00B70B8D" w:rsidRPr="005B5164" w:rsidSect="005C75AC">
      <w:headerReference w:type="even" r:id="rId32"/>
      <w:headerReference w:type="default" r:id="rId33"/>
      <w:footerReference w:type="even" r:id="rId34"/>
      <w:footerReference w:type="default" r:id="rId35"/>
      <w:headerReference w:type="first" r:id="rId36"/>
      <w:footerReference w:type="first" r:id="rId37"/>
      <w:pgSz w:w="12240" w:h="15840"/>
      <w:pgMar w:top="1440" w:right="720" w:bottom="1260" w:left="1440" w:header="360" w:footer="720" w:gutter="0"/>
      <w:pgNumType w:start="1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1A764" w14:textId="77777777" w:rsidR="00830ED3" w:rsidRDefault="00830ED3">
      <w:pPr>
        <w:spacing w:after="0" w:line="240" w:lineRule="auto"/>
        <w:ind w:left="0" w:hanging="2"/>
      </w:pPr>
      <w:r>
        <w:separator/>
      </w:r>
    </w:p>
  </w:endnote>
  <w:endnote w:type="continuationSeparator" w:id="0">
    <w:p w14:paraId="678FD278" w14:textId="77777777" w:rsidR="00830ED3" w:rsidRDefault="00830ED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DEA9C" w14:textId="77777777" w:rsidR="006038BD" w:rsidRDefault="006038BD">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B4EC8" w14:textId="77777777" w:rsidR="006038BD" w:rsidRDefault="006038BD">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F82BD6">
      <w:rPr>
        <w:rFonts w:ascii="Cambria" w:eastAsia="Cambria" w:hAnsi="Cambria" w:cs="Cambria"/>
        <w:noProof/>
        <w:sz w:val="20"/>
        <w:szCs w:val="20"/>
      </w:rPr>
      <w:t>6</w:t>
    </w:r>
    <w:r>
      <w:rPr>
        <w:rFonts w:ascii="Cambria" w:eastAsia="Cambria" w:hAnsi="Cambria" w:cs="Cambri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219A1" w14:textId="77777777" w:rsidR="006038BD" w:rsidRDefault="006038BD">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CA2A2F" w14:textId="77777777" w:rsidR="00830ED3" w:rsidRDefault="00830ED3">
      <w:pPr>
        <w:spacing w:after="0" w:line="240" w:lineRule="auto"/>
        <w:ind w:left="0" w:hanging="2"/>
      </w:pPr>
      <w:r>
        <w:separator/>
      </w:r>
    </w:p>
  </w:footnote>
  <w:footnote w:type="continuationSeparator" w:id="0">
    <w:p w14:paraId="23EF77C7" w14:textId="77777777" w:rsidR="00830ED3" w:rsidRDefault="00830ED3">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70248" w14:textId="77777777" w:rsidR="006038BD" w:rsidRDefault="006038BD">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80D9F" w14:textId="77777777" w:rsidR="006038BD" w:rsidRDefault="006038BD">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6038BD" w14:paraId="69DE47DA" w14:textId="77777777">
      <w:trPr>
        <w:trHeight w:val="1156"/>
      </w:trPr>
      <w:tc>
        <w:tcPr>
          <w:tcW w:w="8089" w:type="dxa"/>
        </w:tcPr>
        <w:p w14:paraId="723F3BAA" w14:textId="77777777" w:rsidR="006038BD" w:rsidRDefault="006038BD">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14:paraId="7EE0DDB8" w14:textId="77777777" w:rsidR="006038BD" w:rsidRDefault="006038BD">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13A6CA84" w14:textId="77777777" w:rsidR="006038BD" w:rsidRDefault="006038BD">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14:paraId="00B3E85F" w14:textId="75323A50" w:rsidR="006038BD" w:rsidRDefault="006038BD">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Volume 4, Number 2, April, 2024</w:t>
          </w:r>
        </w:p>
        <w:p w14:paraId="10E643C1" w14:textId="77777777" w:rsidR="006038BD" w:rsidRDefault="006038BD">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14:paraId="6CC20247" w14:textId="77777777" w:rsidR="006038BD" w:rsidRDefault="006038BD">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 behindDoc="0" locked="0" layoutInCell="1" allowOverlap="1" wp14:anchorId="01B64EA8" wp14:editId="49F4421F">
                <wp:simplePos x="0" y="0"/>
                <wp:positionH relativeFrom="column">
                  <wp:posOffset>321310</wp:posOffset>
                </wp:positionH>
                <wp:positionV relativeFrom="paragraph">
                  <wp:posOffset>48260</wp:posOffset>
                </wp:positionV>
                <wp:extent cx="695325" cy="685800"/>
                <wp:effectExtent l="0" t="0" r="0" b="0"/>
                <wp:wrapSquare wrapText="bothSides"/>
                <wp:docPr id="1"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Pr>
              <w:rFonts w:ascii="Times New Roman" w:hAnsi="Times New Roman" w:cs="Times New Roman"/>
              <w:sz w:val="20"/>
              <w:szCs w:val="20"/>
            </w:rPr>
            <w:t>www.zijedufugusau.com</w:t>
          </w:r>
        </w:p>
      </w:tc>
    </w:tr>
  </w:tbl>
  <w:p w14:paraId="0F776791" w14:textId="77777777" w:rsidR="006038BD" w:rsidRDefault="006038BD">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EE29D3" w14:textId="77777777" w:rsidR="006038BD" w:rsidRDefault="006038BD">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D2872"/>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957798">
    <w:abstractNumId w:val="7"/>
  </w:num>
  <w:num w:numId="2" w16cid:durableId="1686898838">
    <w:abstractNumId w:val="0"/>
  </w:num>
  <w:num w:numId="3" w16cid:durableId="907229474">
    <w:abstractNumId w:val="8"/>
  </w:num>
  <w:num w:numId="4" w16cid:durableId="1905018398">
    <w:abstractNumId w:val="2"/>
  </w:num>
  <w:num w:numId="5" w16cid:durableId="1010718255">
    <w:abstractNumId w:val="3"/>
  </w:num>
  <w:num w:numId="6" w16cid:durableId="333193492">
    <w:abstractNumId w:val="1"/>
  </w:num>
  <w:num w:numId="7" w16cid:durableId="289825719">
    <w:abstractNumId w:val="4"/>
  </w:num>
  <w:num w:numId="8" w16cid:durableId="374736546">
    <w:abstractNumId w:val="5"/>
  </w:num>
  <w:num w:numId="9" w16cid:durableId="21322376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B8D"/>
    <w:rsid w:val="00003376"/>
    <w:rsid w:val="00076657"/>
    <w:rsid w:val="000C585D"/>
    <w:rsid w:val="00101656"/>
    <w:rsid w:val="00146566"/>
    <w:rsid w:val="001C4A24"/>
    <w:rsid w:val="001D5113"/>
    <w:rsid w:val="002808E4"/>
    <w:rsid w:val="00386B19"/>
    <w:rsid w:val="00397AB8"/>
    <w:rsid w:val="00415AB5"/>
    <w:rsid w:val="004C7681"/>
    <w:rsid w:val="00541C34"/>
    <w:rsid w:val="005977F2"/>
    <w:rsid w:val="005B5164"/>
    <w:rsid w:val="005C75AC"/>
    <w:rsid w:val="006038BD"/>
    <w:rsid w:val="00672A3C"/>
    <w:rsid w:val="006C5A7A"/>
    <w:rsid w:val="00713FD9"/>
    <w:rsid w:val="007703CB"/>
    <w:rsid w:val="008164B8"/>
    <w:rsid w:val="00830ED3"/>
    <w:rsid w:val="00855556"/>
    <w:rsid w:val="00871036"/>
    <w:rsid w:val="00891492"/>
    <w:rsid w:val="0090208D"/>
    <w:rsid w:val="009E6F38"/>
    <w:rsid w:val="00A05028"/>
    <w:rsid w:val="00A45C84"/>
    <w:rsid w:val="00A824D8"/>
    <w:rsid w:val="00AD2A9A"/>
    <w:rsid w:val="00AD4D17"/>
    <w:rsid w:val="00B33E5F"/>
    <w:rsid w:val="00B70B8D"/>
    <w:rsid w:val="00C32CAD"/>
    <w:rsid w:val="00C33935"/>
    <w:rsid w:val="00C83144"/>
    <w:rsid w:val="00CB2A08"/>
    <w:rsid w:val="00CB3AF3"/>
    <w:rsid w:val="00D0322D"/>
    <w:rsid w:val="00EF59CE"/>
    <w:rsid w:val="00F82B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24E44"/>
  <w15:docId w15:val="{B7103BD1-D98C-4A44-B139-7151D24D9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qFormat/>
    <w:pPr>
      <w:ind w:left="720"/>
      <w:contextualSpacing/>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link w:val="DefaultChar"/>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DefaultChar">
    <w:name w:val="Default Char"/>
    <w:basedOn w:val="DefaultParagraphFont"/>
    <w:link w:val="Default"/>
    <w:rPr>
      <w:rFonts w:ascii="Times New Roman" w:hAnsi="Times New Roman" w:cs="Times New Roman"/>
      <w:color w:val="000000"/>
      <w:kern w:val="0"/>
      <w:sz w:val="24"/>
      <w:szCs w:val="24"/>
      <w14:ligatures w14:val="none"/>
    </w:rPr>
  </w:style>
  <w:style w:type="table" w:customStyle="1" w:styleId="GridTable1Light1">
    <w:name w:val="Grid Table 1 Light1"/>
    <w:basedOn w:val="TableNormal"/>
    <w:uiPriority w:val="46"/>
    <w:pPr>
      <w:spacing w:after="0" w:line="240" w:lineRule="auto"/>
    </w:pPr>
    <w:rPr>
      <w:kern w:val="0"/>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oot-block-node">
    <w:name w:val="root-block-node"/>
    <w:basedOn w:val="Normal"/>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14:ligatures w14:val="none"/>
    </w:rPr>
  </w:style>
  <w:style w:type="character" w:styleId="Strong">
    <w:name w:val="Strong"/>
    <w:basedOn w:val="DefaultParagraphFont"/>
    <w:uiPriority w:val="22"/>
    <w:qFormat/>
    <w:rPr>
      <w:b/>
      <w:bCs/>
    </w:rPr>
  </w:style>
  <w:style w:type="paragraph" w:styleId="NormalWeb">
    <w:name w:val="Normal (Web)"/>
    <w:basedOn w:val="Normal"/>
    <w:uiPriority w:val="99"/>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14:ligatures w14:val="none"/>
    </w:rPr>
  </w:style>
  <w:style w:type="paragraph" w:customStyle="1" w:styleId="EndNoteBibliographyTitle">
    <w:name w:val="EndNote Bibliography Title"/>
    <w:basedOn w:val="Normal"/>
    <w:link w:val="EndNoteBibliographyTitleChar"/>
    <w:pPr>
      <w:spacing w:after="0"/>
      <w:jc w:val="center"/>
    </w:pPr>
    <w:rPr>
      <w:noProof/>
    </w:rPr>
  </w:style>
  <w:style w:type="character" w:customStyle="1" w:styleId="EndNoteBibliographyTitleChar">
    <w:name w:val="EndNote Bibliography Title Char"/>
    <w:basedOn w:val="DefaultParagraphFont"/>
    <w:link w:val="EndNoteBibliographyTitle"/>
    <w:rPr>
      <w:rFonts w:cs="Calibri"/>
      <w:noProof/>
      <w:kern w:val="0"/>
      <w:position w:val="-1"/>
    </w:rPr>
  </w:style>
  <w:style w:type="paragraph" w:customStyle="1" w:styleId="EndNoteBibliography">
    <w:name w:val="EndNote Bibliography"/>
    <w:basedOn w:val="Normal"/>
    <w:link w:val="EndNoteBibliographyChar"/>
    <w:pPr>
      <w:spacing w:line="240" w:lineRule="auto"/>
      <w:jc w:val="both"/>
    </w:pPr>
    <w:rPr>
      <w:noProof/>
    </w:rPr>
  </w:style>
  <w:style w:type="character" w:customStyle="1" w:styleId="EndNoteBibliographyChar">
    <w:name w:val="EndNote Bibliography Char"/>
    <w:basedOn w:val="DefaultParagraphFont"/>
    <w:link w:val="EndNoteBibliography"/>
    <w:rPr>
      <w:rFonts w:cs="Calibri"/>
      <w:noProof/>
      <w:kern w:val="0"/>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www.litbasket.io" TargetMode="External"/><Relationship Id="rId18" Type="http://schemas.openxmlformats.org/officeDocument/2006/relationships/chart" Target="charts/chart3.xml"/><Relationship Id="rId26" Type="http://schemas.openxmlformats.org/officeDocument/2006/relationships/hyperlink" Target="https://aisel.aisnet.org/misq/vol37/iss3/6" TargetMode="External"/><Relationship Id="rId39" Type="http://schemas.openxmlformats.org/officeDocument/2006/relationships/theme" Target="theme/theme1.xml"/><Relationship Id="rId21" Type="http://schemas.openxmlformats.org/officeDocument/2006/relationships/hyperlink" Target="https://aisel.aisnet.org/cais/vol42/iss1/22"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mhabibu@abu.edu.ng" TargetMode="External"/><Relationship Id="rId17" Type="http://schemas.openxmlformats.org/officeDocument/2006/relationships/chart" Target="charts/chart2.xml"/><Relationship Id="rId25" Type="http://schemas.openxmlformats.org/officeDocument/2006/relationships/hyperlink" Target="https://doi.org/10.1108/OIR-10-2015-0343"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image" Target="media/image3.png"/><Relationship Id="rId29" Type="http://schemas.openxmlformats.org/officeDocument/2006/relationships/hyperlink" Target="https://doi.org/https://doi.org/10.1111/isj.122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jlibs2002@yahoo.com" TargetMode="External"/><Relationship Id="rId24" Type="http://schemas.openxmlformats.org/officeDocument/2006/relationships/hyperlink" Target="https://doi.org/https://doi.org/10.1111/bjet.12995"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doi.org/https://doi.org/10.1111/isj.12311" TargetMode="External"/><Relationship Id="rId28" Type="http://schemas.openxmlformats.org/officeDocument/2006/relationships/hyperlink" Target="https://doi.org/10.1080/1743727X.2022.2032632" TargetMode="External"/><Relationship Id="rId36" Type="http://schemas.openxmlformats.org/officeDocument/2006/relationships/header" Target="header3.xml"/><Relationship Id="rId10" Type="http://schemas.openxmlformats.org/officeDocument/2006/relationships/hyperlink" Target="mailto:ibnhayat@gmail.com" TargetMode="External"/><Relationship Id="rId19" Type="http://schemas.openxmlformats.org/officeDocument/2006/relationships/chart" Target="charts/chart4.xml"/><Relationship Id="rId31" Type="http://schemas.openxmlformats.org/officeDocument/2006/relationships/hyperlink" Target="https://doi.org/10.1108/JD-05-2020-0078" TargetMode="External"/><Relationship Id="rId4" Type="http://schemas.openxmlformats.org/officeDocument/2006/relationships/settings" Target="settings.xml"/><Relationship Id="rId9" Type="http://schemas.openxmlformats.org/officeDocument/2006/relationships/hyperlink" Target="mailto:bbadamasi@abu.edu.ng" TargetMode="External"/><Relationship Id="rId14" Type="http://schemas.openxmlformats.org/officeDocument/2006/relationships/image" Target="media/image1.png"/><Relationship Id="rId22" Type="http://schemas.openxmlformats.org/officeDocument/2006/relationships/hyperlink" Target="https://doi.org/10.1080/10494820.2022.2065308" TargetMode="External"/><Relationship Id="rId27" Type="http://schemas.openxmlformats.org/officeDocument/2006/relationships/hyperlink" Target="https://doi.org/10.1080/17501229.2012.756491" TargetMode="External"/><Relationship Id="rId30" Type="http://schemas.openxmlformats.org/officeDocument/2006/relationships/hyperlink" Target="https://doi.org/doi:10.1111/j.1467-8535.2005.00528.x" TargetMode="External"/><Relationship Id="rId35" Type="http://schemas.openxmlformats.org/officeDocument/2006/relationships/footer" Target="footer2.xml"/><Relationship Id="rId8" Type="http://schemas.openxmlformats.org/officeDocument/2006/relationships/hyperlink" Target="mailto:buhariruky@gmail.com"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charts/_rels/chart1.xml.rels><?xml version="1.0" encoding="UTF-8" standalone="yes"?>
<Relationships xmlns="http://schemas.openxmlformats.org/package/2006/relationships"><Relationship Id="rId1" Type="http://schemas.openxmlformats.org/officeDocument/2006/relationships/oleObject" Target="C:/Users/User/Desktop/A_I_O/AUN_PhD%20V002/Affordance/A%20_%20LitReview%20Papers/Descriptive%20Statistics_00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C:/Users/User/Desktop/A_I_O/AUN_PhD%20V002/Affordance/A%20_%20LitReview%20Papers/Descriptive%20Statistics_00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C:/Users/User/Desktop/A_I_O/AUN_PhD%20V002/Affordance/A%20_%20LitReview%20Papers/Descriptive%20Statistics_00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C:/Users/User/Desktop/A_I_O/AUN_PhD%20V002/Affordance/A%20_%20LitReview%20Papers/Descriptive%20Statistics_0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numRef>
              <c:f>Sheet1!$B$3:$B$13</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cat>
          <c:val>
            <c:numRef>
              <c:f>Sheet1!$C$3:$C$13</c:f>
              <c:numCache>
                <c:formatCode>General</c:formatCode>
                <c:ptCount val="11"/>
                <c:pt idx="0">
                  <c:v>1</c:v>
                </c:pt>
                <c:pt idx="1">
                  <c:v>4</c:v>
                </c:pt>
                <c:pt idx="2">
                  <c:v>4</c:v>
                </c:pt>
                <c:pt idx="3">
                  <c:v>4</c:v>
                </c:pt>
                <c:pt idx="4">
                  <c:v>7</c:v>
                </c:pt>
                <c:pt idx="5">
                  <c:v>11</c:v>
                </c:pt>
                <c:pt idx="6">
                  <c:v>8</c:v>
                </c:pt>
                <c:pt idx="7">
                  <c:v>9</c:v>
                </c:pt>
                <c:pt idx="8">
                  <c:v>15</c:v>
                </c:pt>
                <c:pt idx="9">
                  <c:v>4</c:v>
                </c:pt>
                <c:pt idx="10">
                  <c:v>2</c:v>
                </c:pt>
              </c:numCache>
            </c:numRef>
          </c:val>
          <c:extLst>
            <c:ext xmlns:c16="http://schemas.microsoft.com/office/drawing/2014/chart" uri="{C3380CC4-5D6E-409C-BE32-E72D297353CC}">
              <c16:uniqueId val="{00000000-204C-4E42-A27C-E8799AA93F11}"/>
            </c:ext>
          </c:extLst>
        </c:ser>
        <c:dLbls>
          <c:showLegendKey val="0"/>
          <c:showVal val="0"/>
          <c:showCatName val="0"/>
          <c:showSerName val="0"/>
          <c:showPercent val="0"/>
          <c:showBubbleSize val="0"/>
        </c:dLbls>
        <c:gapWidth val="219"/>
        <c:overlap val="-27"/>
        <c:axId val="438609216"/>
        <c:axId val="438607648"/>
      </c:barChart>
      <c:catAx>
        <c:axId val="4386092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8607648"/>
        <c:crosses val="autoZero"/>
        <c:auto val="1"/>
        <c:lblAlgn val="ctr"/>
        <c:lblOffset val="100"/>
        <c:noMultiLvlLbl val="0"/>
      </c:catAx>
      <c:valAx>
        <c:axId val="4386076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86092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Sheet2!$C$2</c:f>
              <c:strCache>
                <c:ptCount val="1"/>
                <c:pt idx="0">
                  <c:v>No. of Studies</c:v>
                </c:pt>
              </c:strCache>
            </c:strRef>
          </c:tx>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E6C4-49DF-B4BC-33AD92DEBA44}"/>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E6C4-49DF-B4BC-33AD92DEBA44}"/>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E6C4-49DF-B4BC-33AD92DEBA44}"/>
              </c:ext>
            </c:extLst>
          </c:dPt>
          <c:dLbls>
            <c:dLbl>
              <c:idx val="0"/>
              <c:layout>
                <c:manualLayout>
                  <c:x val="1.4705882352941086E-2"/>
                  <c:y val="-1.3783597518952573E-2"/>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A29F1BA8-7963-4890-846D-1146889974E7}" type="CATEGORYNAME">
                      <a:rPr lang="en-US" sz="500">
                        <a:latin typeface="Georgia" panose="02040502050405020303" pitchFamily="18" charset="0"/>
                        <a:cs typeface="Arial" panose="020B0604020202020204" pitchFamily="34" charset="0"/>
                      </a:rPr>
                      <a:pPr>
                        <a:defRPr sz="1000" b="1" i="0" u="none" strike="noStrike" kern="1200" spc="0" baseline="0">
                          <a:solidFill>
                            <a:schemeClr val="accent1"/>
                          </a:solidFill>
                          <a:latin typeface="+mn-lt"/>
                          <a:ea typeface="+mn-ea"/>
                          <a:cs typeface="+mn-cs"/>
                        </a:defRPr>
                      </a:pPr>
                      <a:t>[CATEGORY NAME]</a:t>
                    </a:fld>
                    <a:r>
                      <a:rPr lang="en-US" sz="500" baseline="0">
                        <a:latin typeface="Georgia" panose="02040502050405020303" pitchFamily="18" charset="0"/>
                      </a:rPr>
                      <a:t>
</a:t>
                    </a:r>
                    <a:fld id="{317710E2-ADA9-468D-AE5A-648A26F3951F}" type="PERCENTAGE">
                      <a:rPr lang="en-US" sz="500" baseline="0">
                        <a:latin typeface="Georgia" panose="02040502050405020303" pitchFamily="18" charset="0"/>
                      </a:rPr>
                      <a:pPr>
                        <a:defRPr sz="1000" b="1" i="0" u="none" strike="noStrike" kern="1200" spc="0" baseline="0">
                          <a:solidFill>
                            <a:schemeClr val="accent1"/>
                          </a:solidFill>
                          <a:latin typeface="+mn-lt"/>
                          <a:ea typeface="+mn-ea"/>
                          <a:cs typeface="+mn-cs"/>
                        </a:defRPr>
                      </a:pPr>
                      <a:t>[PERCENTAGE]</a:t>
                    </a:fld>
                    <a:endParaRPr lang="en-US" sz="500" baseline="0">
                      <a:latin typeface="Georgia" panose="02040502050405020303" pitchFamily="18" charset="0"/>
                    </a:endParaRPr>
                  </a:p>
                </c:rich>
              </c:tx>
              <c:spPr>
                <a:noFill/>
                <a:ln>
                  <a:noFill/>
                </a:ln>
                <a:effectLst/>
              </c:spPr>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6C4-49DF-B4BC-33AD92DEBA44}"/>
                </c:ext>
              </c:extLst>
            </c:dLbl>
            <c:dLbl>
              <c:idx val="1"/>
              <c:layout>
                <c:manualLayout>
                  <c:x val="9.8553342596881283E-2"/>
                  <c:y val="-8.9593383873190907E-2"/>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chemeClr val="accent1"/>
                        </a:solidFill>
                        <a:latin typeface="+mn-lt"/>
                        <a:ea typeface="+mn-ea"/>
                        <a:cs typeface="+mn-cs"/>
                      </a:defRPr>
                    </a:pPr>
                    <a:fld id="{27DDC7C6-983A-4AEE-B7D4-100A98DC2C4F}" type="CATEGORYNAME">
                      <a:rPr lang="en-US" sz="500">
                        <a:solidFill>
                          <a:schemeClr val="accent2"/>
                        </a:solidFill>
                        <a:latin typeface="Georgia" panose="02040502050405020303" pitchFamily="18" charset="0"/>
                        <a:cs typeface="Arial" panose="020B0604020202020204" pitchFamily="34" charset="0"/>
                      </a:rPr>
                      <a:pPr>
                        <a:defRPr sz="1000" b="1" i="0" u="none" strike="noStrike" kern="1200" spc="0" baseline="0">
                          <a:solidFill>
                            <a:schemeClr val="accent1"/>
                          </a:solidFill>
                          <a:latin typeface="+mn-lt"/>
                          <a:ea typeface="+mn-ea"/>
                          <a:cs typeface="+mn-cs"/>
                        </a:defRPr>
                      </a:pPr>
                      <a:t>[CATEGORY NAME]</a:t>
                    </a:fld>
                    <a:r>
                      <a:rPr lang="en-US" sz="500" baseline="0">
                        <a:solidFill>
                          <a:schemeClr val="accent2"/>
                        </a:solidFill>
                        <a:latin typeface="Georgia" panose="02040502050405020303" pitchFamily="18" charset="0"/>
                      </a:rPr>
                      <a:t>
</a:t>
                    </a:r>
                    <a:fld id="{66DCC944-A3C4-4CDB-B03C-E6FC052746A3}" type="PERCENTAGE">
                      <a:rPr lang="en-US" sz="500" baseline="0">
                        <a:solidFill>
                          <a:schemeClr val="accent2"/>
                        </a:solidFill>
                        <a:latin typeface="Georgia" panose="02040502050405020303" pitchFamily="18" charset="0"/>
                      </a:rPr>
                      <a:pPr>
                        <a:defRPr sz="1000" b="1" i="0" u="none" strike="noStrike" kern="1200" spc="0" baseline="0">
                          <a:solidFill>
                            <a:schemeClr val="accent1"/>
                          </a:solidFill>
                          <a:latin typeface="+mn-lt"/>
                          <a:ea typeface="+mn-ea"/>
                          <a:cs typeface="+mn-cs"/>
                        </a:defRPr>
                      </a:pPr>
                      <a:t>[PERCENTAGE]</a:t>
                    </a:fld>
                    <a:endParaRPr lang="en-US" sz="500" baseline="0">
                      <a:solidFill>
                        <a:schemeClr val="accent2"/>
                      </a:solidFill>
                      <a:latin typeface="Georgia" panose="02040502050405020303" pitchFamily="18" charset="0"/>
                    </a:endParaRPr>
                  </a:p>
                </c:rich>
              </c:tx>
              <c:spPr>
                <a:noFill/>
                <a:ln>
                  <a:noFill/>
                </a:ln>
                <a:effectLst/>
              </c:spPr>
              <c:dLblPos val="bestFit"/>
              <c:showLegendKey val="0"/>
              <c:showVal val="0"/>
              <c:showCatName val="1"/>
              <c:showSerName val="0"/>
              <c:showPercent val="1"/>
              <c:showBubbleSize val="0"/>
              <c:extLst>
                <c:ext xmlns:c15="http://schemas.microsoft.com/office/drawing/2012/chart" uri="{CE6537A1-D6FC-4f65-9D91-7224C49458BB}">
                  <c15:layout>
                    <c:manualLayout>
                      <c:w val="0.34698510112706499"/>
                      <c:h val="0.13501033769813922"/>
                    </c:manualLayout>
                  </c15:layout>
                  <c15:dlblFieldTable/>
                  <c15:showDataLabelsRange val="0"/>
                </c:ext>
                <c:ext xmlns:c16="http://schemas.microsoft.com/office/drawing/2014/chart" uri="{C3380CC4-5D6E-409C-BE32-E72D297353CC}">
                  <c16:uniqueId val="{00000003-E6C4-49DF-B4BC-33AD92DEBA44}"/>
                </c:ext>
              </c:extLst>
            </c:dLbl>
            <c:dLbl>
              <c:idx val="2"/>
              <c:layout>
                <c:manualLayout>
                  <c:x val="0.28150301065308014"/>
                  <c:y val="3.4458993797381134E-2"/>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chemeClr val="accent1"/>
                        </a:solidFill>
                        <a:latin typeface="+mn-lt"/>
                        <a:ea typeface="+mn-ea"/>
                        <a:cs typeface="+mn-cs"/>
                      </a:defRPr>
                    </a:pPr>
                    <a:fld id="{DF3CB829-88A8-4847-94F7-62E1F2E2B967}" type="CATEGORYNAME">
                      <a:rPr lang="en-US" sz="500">
                        <a:solidFill>
                          <a:schemeClr val="bg2">
                            <a:lumMod val="50000"/>
                          </a:schemeClr>
                        </a:solidFill>
                        <a:latin typeface="Arial" panose="020B0604020202020204" pitchFamily="34" charset="0"/>
                        <a:cs typeface="Arial" panose="020B0604020202020204" pitchFamily="34" charset="0"/>
                      </a:rPr>
                      <a:pPr>
                        <a:defRPr sz="1000" b="1" i="0" u="none" strike="noStrike" kern="1200" spc="0" baseline="0">
                          <a:solidFill>
                            <a:schemeClr val="accent1"/>
                          </a:solidFill>
                          <a:latin typeface="+mn-lt"/>
                          <a:ea typeface="+mn-ea"/>
                          <a:cs typeface="+mn-cs"/>
                        </a:defRPr>
                      </a:pPr>
                      <a:t>[CATEGORY NAME]</a:t>
                    </a:fld>
                    <a:r>
                      <a:rPr lang="en-US" sz="500" baseline="0">
                        <a:solidFill>
                          <a:schemeClr val="bg2">
                            <a:lumMod val="50000"/>
                          </a:schemeClr>
                        </a:solidFill>
                        <a:latin typeface="Arial" panose="020B0604020202020204" pitchFamily="34" charset="0"/>
                        <a:cs typeface="Arial" panose="020B0604020202020204" pitchFamily="34" charset="0"/>
                      </a:rPr>
                      <a:t>
</a:t>
                    </a:r>
                    <a:fld id="{F8876C46-32EF-431B-9289-5643BDF90831}" type="PERCENTAGE">
                      <a:rPr lang="en-US" sz="500" baseline="0">
                        <a:solidFill>
                          <a:schemeClr val="bg2">
                            <a:lumMod val="50000"/>
                          </a:schemeClr>
                        </a:solidFill>
                      </a:rPr>
                      <a:pPr>
                        <a:defRPr sz="1000" b="1" i="0" u="none" strike="noStrike" kern="1200" spc="0" baseline="0">
                          <a:solidFill>
                            <a:schemeClr val="accent1"/>
                          </a:solidFill>
                          <a:latin typeface="+mn-lt"/>
                          <a:ea typeface="+mn-ea"/>
                          <a:cs typeface="+mn-cs"/>
                        </a:defRPr>
                      </a:pPr>
                      <a:t>[PERCENTAGE]</a:t>
                    </a:fld>
                    <a:endParaRPr lang="en-US" sz="500" baseline="0">
                      <a:solidFill>
                        <a:schemeClr val="bg2">
                          <a:lumMod val="50000"/>
                        </a:schemeClr>
                      </a:solidFill>
                      <a:latin typeface="Arial" panose="020B0604020202020204" pitchFamily="34" charset="0"/>
                      <a:cs typeface="Arial" panose="020B0604020202020204" pitchFamily="34" charset="0"/>
                    </a:endParaRPr>
                  </a:p>
                </c:rich>
              </c:tx>
              <c:spPr>
                <a:noFill/>
                <a:ln>
                  <a:noFill/>
                </a:ln>
                <a:effectLst/>
              </c:spPr>
              <c:dLblPos val="bestFit"/>
              <c:showLegendKey val="0"/>
              <c:showVal val="0"/>
              <c:showCatName val="1"/>
              <c:showSerName val="0"/>
              <c:showPercent val="1"/>
              <c:showBubbleSize val="0"/>
              <c:extLst>
                <c:ext xmlns:c15="http://schemas.microsoft.com/office/drawing/2012/chart" uri="{CE6537A1-D6FC-4f65-9D91-7224C49458BB}">
                  <c15:layout>
                    <c:manualLayout>
                      <c:w val="0.37901960784313726"/>
                      <c:h val="0.17584451667869566"/>
                    </c:manualLayout>
                  </c15:layout>
                  <c15:dlblFieldTable/>
                  <c15:showDataLabelsRange val="0"/>
                </c:ext>
                <c:ext xmlns:c16="http://schemas.microsoft.com/office/drawing/2014/chart" uri="{C3380CC4-5D6E-409C-BE32-E72D297353CC}">
                  <c16:uniqueId val="{00000005-E6C4-49DF-B4BC-33AD92DEBA44}"/>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Sheet2!$B$3:$B$5</c:f>
              <c:strCache>
                <c:ptCount val="3"/>
                <c:pt idx="0">
                  <c:v>Journal articles</c:v>
                </c:pt>
                <c:pt idx="1">
                  <c:v>Conference papers</c:v>
                </c:pt>
                <c:pt idx="2">
                  <c:v>Book/Book Section</c:v>
                </c:pt>
              </c:strCache>
            </c:strRef>
          </c:cat>
          <c:val>
            <c:numRef>
              <c:f>Sheet2!$C$3:$C$5</c:f>
              <c:numCache>
                <c:formatCode>General</c:formatCode>
                <c:ptCount val="3"/>
                <c:pt idx="0">
                  <c:v>59</c:v>
                </c:pt>
                <c:pt idx="1">
                  <c:v>5</c:v>
                </c:pt>
                <c:pt idx="2">
                  <c:v>5</c:v>
                </c:pt>
              </c:numCache>
            </c:numRef>
          </c:val>
          <c:extLst>
            <c:ext xmlns:c16="http://schemas.microsoft.com/office/drawing/2014/chart" uri="{C3380CC4-5D6E-409C-BE32-E72D297353CC}">
              <c16:uniqueId val="{00000006-E6C4-49DF-B4BC-33AD92DEBA44}"/>
            </c:ext>
          </c:extLst>
        </c:ser>
        <c:dLbls>
          <c:dLblPos val="outEnd"/>
          <c:showLegendKey val="0"/>
          <c:showVal val="0"/>
          <c:showCatName val="0"/>
          <c:showSerName val="0"/>
          <c:showPercent val="1"/>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8208318521151801E-2"/>
          <c:y val="0"/>
          <c:w val="0.92179168147884816"/>
          <c:h val="0.65188554250675279"/>
        </c:manualLayout>
      </c:layout>
      <c:lineChart>
        <c:grouping val="standard"/>
        <c:varyColors val="0"/>
        <c:ser>
          <c:idx val="0"/>
          <c:order val="0"/>
          <c:tx>
            <c:strRef>
              <c:f>Sheet3!$C$2</c:f>
              <c:strCache>
                <c:ptCount val="1"/>
                <c:pt idx="0">
                  <c:v>No. of Studies</c:v>
                </c:pt>
              </c:strCache>
            </c:strRef>
          </c:tx>
          <c:spPr>
            <a:ln w="25400" cap="rnd">
              <a:solidFill>
                <a:schemeClr val="lt1"/>
              </a:solidFill>
              <a:round/>
            </a:ln>
            <a:effectLst>
              <a:outerShdw dist="25400" dir="2700000" algn="tl" rotWithShape="0">
                <a:schemeClr val="accent1"/>
              </a:outerShdw>
            </a:effectLst>
          </c:spPr>
          <c:marker>
            <c:symbol val="none"/>
          </c:marker>
          <c:dLbls>
            <c:spPr>
              <a:solidFill>
                <a:srgbClr val="4472C4"/>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accent1">
                          <a:lumMod val="60000"/>
                          <a:lumOff val="40000"/>
                        </a:schemeClr>
                      </a:solidFill>
                    </a:ln>
                    <a:effectLst/>
                  </c:spPr>
                </c15:leaderLines>
              </c:ext>
            </c:extLst>
          </c:dLbls>
          <c:cat>
            <c:strRef>
              <c:f>Sheet3!$B$3:$B$7</c:f>
              <c:strCache>
                <c:ptCount val="5"/>
                <c:pt idx="0">
                  <c:v>Qualitative</c:v>
                </c:pt>
                <c:pt idx="1">
                  <c:v>Quantitative</c:v>
                </c:pt>
                <c:pt idx="2">
                  <c:v>Mixed Method</c:v>
                </c:pt>
                <c:pt idx="3">
                  <c:v>Literature review method</c:v>
                </c:pt>
                <c:pt idx="4">
                  <c:v>N/A</c:v>
                </c:pt>
              </c:strCache>
            </c:strRef>
          </c:cat>
          <c:val>
            <c:numRef>
              <c:f>Sheet3!$C$3:$C$7</c:f>
              <c:numCache>
                <c:formatCode>General</c:formatCode>
                <c:ptCount val="5"/>
                <c:pt idx="0">
                  <c:v>30</c:v>
                </c:pt>
                <c:pt idx="1">
                  <c:v>17</c:v>
                </c:pt>
                <c:pt idx="2">
                  <c:v>10</c:v>
                </c:pt>
                <c:pt idx="3">
                  <c:v>4</c:v>
                </c:pt>
                <c:pt idx="4">
                  <c:v>8</c:v>
                </c:pt>
              </c:numCache>
            </c:numRef>
          </c:val>
          <c:smooth val="0"/>
          <c:extLst>
            <c:ext xmlns:c16="http://schemas.microsoft.com/office/drawing/2014/chart" uri="{C3380CC4-5D6E-409C-BE32-E72D297353CC}">
              <c16:uniqueId val="{00000000-FE92-4977-9144-4EB4B741A6E9}"/>
            </c:ext>
          </c:extLst>
        </c:ser>
        <c:dLbls>
          <c:dLblPos val="ctr"/>
          <c:showLegendKey val="0"/>
          <c:showVal val="1"/>
          <c:showCatName val="0"/>
          <c:showSerName val="0"/>
          <c:showPercent val="0"/>
          <c:showBubbleSize val="0"/>
        </c:dLbls>
        <c:dropLines>
          <c:spPr>
            <a:ln w="9525" cap="flat" cmpd="sng" algn="ctr">
              <a:gradFill>
                <a:gsLst>
                  <a:gs pos="0">
                    <a:schemeClr val="lt1"/>
                  </a:gs>
                  <a:gs pos="100000">
                    <a:schemeClr val="lt1">
                      <a:alpha val="0"/>
                    </a:schemeClr>
                  </a:gs>
                </a:gsLst>
                <a:lin ang="5400000" scaled="0"/>
              </a:gradFill>
              <a:round/>
            </a:ln>
            <a:effectLst/>
          </c:spPr>
        </c:dropLines>
        <c:smooth val="0"/>
        <c:axId val="448232176"/>
        <c:axId val="448232568"/>
      </c:lineChart>
      <c:catAx>
        <c:axId val="44823217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30" baseline="0">
                <a:solidFill>
                  <a:schemeClr val="lt1"/>
                </a:solidFill>
                <a:latin typeface="+mn-lt"/>
                <a:ea typeface="+mn-ea"/>
                <a:cs typeface="+mn-cs"/>
              </a:defRPr>
            </a:pPr>
            <a:endParaRPr lang="en-US"/>
          </a:p>
        </c:txPr>
        <c:crossAx val="448232568"/>
        <c:crosses val="autoZero"/>
        <c:auto val="1"/>
        <c:lblAlgn val="ctr"/>
        <c:lblOffset val="100"/>
        <c:noMultiLvlLbl val="0"/>
      </c:catAx>
      <c:valAx>
        <c:axId val="448232568"/>
        <c:scaling>
          <c:orientation val="minMax"/>
        </c:scaling>
        <c:delete val="1"/>
        <c:axPos val="l"/>
        <c:numFmt formatCode="General" sourceLinked="1"/>
        <c:majorTickMark val="none"/>
        <c:minorTickMark val="none"/>
        <c:tickLblPos val="nextTo"/>
        <c:crossAx val="448232176"/>
        <c:crosses val="autoZero"/>
        <c:crossBetween val="between"/>
      </c:valAx>
      <c:spPr>
        <a:noFill/>
        <a:ln>
          <a:noFill/>
        </a:ln>
        <a:effectLst/>
      </c:spPr>
    </c:plotArea>
    <c:plotVisOnly val="1"/>
    <c:dispBlanksAs val="gap"/>
    <c:showDLblsOverMax val="0"/>
  </c:chart>
  <c:spPr>
    <a:solidFill>
      <a:schemeClr val="accent1"/>
    </a:solidFill>
    <a:ln w="9525" cap="flat" cmpd="sng" algn="ctr">
      <a:solidFill>
        <a:schemeClr val="lt1">
          <a:lumMod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Sheet4!$B$3</c:f>
              <c:strCache>
                <c:ptCount val="1"/>
                <c:pt idx="0">
                  <c:v>No. of Studies</c:v>
                </c:pt>
              </c:strCache>
            </c:strRef>
          </c:tx>
          <c:spPr>
            <a:solidFill>
              <a:schemeClr val="accent1"/>
            </a:solidFill>
            <a:ln>
              <a:noFill/>
            </a:ln>
            <a:effectLst/>
          </c:spPr>
          <c:invertIfNegative val="0"/>
          <c:cat>
            <c:strRef>
              <c:f>Sheet4!$A$4:$A$30</c:f>
              <c:strCache>
                <c:ptCount val="27"/>
                <c:pt idx="0">
                  <c:v>Austalia</c:v>
                </c:pt>
                <c:pt idx="1">
                  <c:v>Bangladesh</c:v>
                </c:pt>
                <c:pt idx="2">
                  <c:v>Belgium</c:v>
                </c:pt>
                <c:pt idx="3">
                  <c:v>Bzaril</c:v>
                </c:pt>
                <c:pt idx="4">
                  <c:v>Canada</c:v>
                </c:pt>
                <c:pt idx="5">
                  <c:v>China</c:v>
                </c:pt>
                <c:pt idx="6">
                  <c:v>Cyprus</c:v>
                </c:pt>
                <c:pt idx="7">
                  <c:v>Florida</c:v>
                </c:pt>
                <c:pt idx="8">
                  <c:v>Germany</c:v>
                </c:pt>
                <c:pt idx="9">
                  <c:v>Ghana</c:v>
                </c:pt>
                <c:pt idx="10">
                  <c:v>Hongkong</c:v>
                </c:pt>
                <c:pt idx="11">
                  <c:v>India</c:v>
                </c:pt>
                <c:pt idx="12">
                  <c:v>Israel</c:v>
                </c:pt>
                <c:pt idx="13">
                  <c:v>Indonesia</c:v>
                </c:pt>
                <c:pt idx="14">
                  <c:v>Kenya</c:v>
                </c:pt>
                <c:pt idx="15">
                  <c:v>Korea</c:v>
                </c:pt>
                <c:pt idx="16">
                  <c:v>Malaysia</c:v>
                </c:pt>
                <c:pt idx="17">
                  <c:v>Netherlands</c:v>
                </c:pt>
                <c:pt idx="18">
                  <c:v>Norway</c:v>
                </c:pt>
                <c:pt idx="19">
                  <c:v>Oman</c:v>
                </c:pt>
                <c:pt idx="20">
                  <c:v>South Africa</c:v>
                </c:pt>
                <c:pt idx="21">
                  <c:v>Singerpore</c:v>
                </c:pt>
                <c:pt idx="22">
                  <c:v>Sweden</c:v>
                </c:pt>
                <c:pt idx="23">
                  <c:v>Taiwan</c:v>
                </c:pt>
                <c:pt idx="24">
                  <c:v>United States</c:v>
                </c:pt>
                <c:pt idx="25">
                  <c:v>United Kingdom</c:v>
                </c:pt>
                <c:pt idx="26">
                  <c:v>United Arab Emarates</c:v>
                </c:pt>
              </c:strCache>
            </c:strRef>
          </c:cat>
          <c:val>
            <c:numRef>
              <c:f>Sheet4!$B$4:$B$30</c:f>
              <c:numCache>
                <c:formatCode>General</c:formatCode>
                <c:ptCount val="27"/>
                <c:pt idx="0">
                  <c:v>5</c:v>
                </c:pt>
                <c:pt idx="1">
                  <c:v>1</c:v>
                </c:pt>
                <c:pt idx="2">
                  <c:v>1</c:v>
                </c:pt>
                <c:pt idx="3">
                  <c:v>1</c:v>
                </c:pt>
                <c:pt idx="4">
                  <c:v>3</c:v>
                </c:pt>
                <c:pt idx="5">
                  <c:v>7</c:v>
                </c:pt>
                <c:pt idx="6">
                  <c:v>2</c:v>
                </c:pt>
                <c:pt idx="7">
                  <c:v>1</c:v>
                </c:pt>
                <c:pt idx="8">
                  <c:v>2</c:v>
                </c:pt>
                <c:pt idx="9">
                  <c:v>2</c:v>
                </c:pt>
                <c:pt idx="10">
                  <c:v>1</c:v>
                </c:pt>
                <c:pt idx="11">
                  <c:v>1</c:v>
                </c:pt>
                <c:pt idx="12">
                  <c:v>1</c:v>
                </c:pt>
                <c:pt idx="13">
                  <c:v>1</c:v>
                </c:pt>
                <c:pt idx="14">
                  <c:v>2</c:v>
                </c:pt>
                <c:pt idx="15">
                  <c:v>2</c:v>
                </c:pt>
                <c:pt idx="16">
                  <c:v>1</c:v>
                </c:pt>
                <c:pt idx="17">
                  <c:v>1</c:v>
                </c:pt>
                <c:pt idx="18">
                  <c:v>1</c:v>
                </c:pt>
                <c:pt idx="19">
                  <c:v>2</c:v>
                </c:pt>
                <c:pt idx="20">
                  <c:v>2</c:v>
                </c:pt>
                <c:pt idx="21">
                  <c:v>2</c:v>
                </c:pt>
                <c:pt idx="22">
                  <c:v>2</c:v>
                </c:pt>
                <c:pt idx="23">
                  <c:v>3</c:v>
                </c:pt>
                <c:pt idx="24">
                  <c:v>17</c:v>
                </c:pt>
                <c:pt idx="25">
                  <c:v>4</c:v>
                </c:pt>
                <c:pt idx="26">
                  <c:v>1</c:v>
                </c:pt>
              </c:numCache>
            </c:numRef>
          </c:val>
          <c:extLst>
            <c:ext xmlns:c16="http://schemas.microsoft.com/office/drawing/2014/chart" uri="{C3380CC4-5D6E-409C-BE32-E72D297353CC}">
              <c16:uniqueId val="{00000000-AA03-4826-961A-E0DF5282E273}"/>
            </c:ext>
          </c:extLst>
        </c:ser>
        <c:dLbls>
          <c:showLegendKey val="0"/>
          <c:showVal val="0"/>
          <c:showCatName val="0"/>
          <c:showSerName val="0"/>
          <c:showPercent val="0"/>
          <c:showBubbleSize val="0"/>
        </c:dLbls>
        <c:gapWidth val="267"/>
        <c:overlap val="-43"/>
        <c:axId val="448234528"/>
        <c:axId val="553398400"/>
      </c:barChart>
      <c:catAx>
        <c:axId val="448234528"/>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553398400"/>
        <c:crosses val="autoZero"/>
        <c:auto val="1"/>
        <c:lblAlgn val="ctr"/>
        <c:lblOffset val="100"/>
        <c:noMultiLvlLbl val="0"/>
      </c:catAx>
      <c:valAx>
        <c:axId val="553398400"/>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crossAx val="448234528"/>
        <c:crosses val="autoZero"/>
        <c:crossBetween val="between"/>
      </c:valAx>
      <c:spPr>
        <a:pattFill prst="ltDnDiag">
          <a:fgClr>
            <a:schemeClr val="dk1">
              <a:lumMod val="15000"/>
              <a:lumOff val="85000"/>
            </a:schemeClr>
          </a:fgClr>
          <a:bgClr>
            <a:schemeClr val="lt1"/>
          </a:bgClr>
        </a:patt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4FAA1-CD64-4FF7-AFEC-AB830339B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23714</Words>
  <Characters>135172</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Abubakar Sadiq Haruna</cp:lastModifiedBy>
  <cp:revision>2</cp:revision>
  <dcterms:created xsi:type="dcterms:W3CDTF">2024-08-29T17:24:00Z</dcterms:created>
  <dcterms:modified xsi:type="dcterms:W3CDTF">2024-08-29T17:24:00Z</dcterms:modified>
</cp:coreProperties>
</file>